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《舞钢市人民政府关于历史遗留问题导致不动产 “登记难” 清理化解的若干意见》草案说明</w:t>
      </w:r>
    </w:p>
    <w:p>
      <w:pPr>
        <w:pStyle w:val="Heading2"/>
      </w:pPr>
      <w:r>
        <w:t xml:space="preserve">一、制定背景</w:t>
      </w:r>
    </w:p>
    <w:p>
      <w:pPr>
        <w:pStyle w:val="text"/>
      </w:pPr>
      <w:r>
        <w:t xml:space="preserve">不动产登记直接关系群众切身利益，历史遗留问题导致的不动产 “登记难”，是当前群众反映强烈的突出问题，不仅影响群众财产权益保障，也制约着我市房地产市场健康发展和营商环境优化。近年来，随着城镇化进程推进，部分已购公有住房、集资房、自建房等因土地性质、出让价款、税费缴纳等历史遗留问题，无法顺利办理不动产登记，引发群众多次诉求。为切实回应群众关切，解决好这一民生痛点，根据上级相关工作部署，结合我市实际，制定本《若干意见》。</w:t>
      </w:r>
    </w:p>
    <w:p>
      <w:pPr>
        <w:pStyle w:val="Heading2"/>
      </w:pPr>
      <w:r>
        <w:t xml:space="preserve">二、制定依据</w:t>
      </w:r>
    </w:p>
    <w:p>
      <w:pPr>
        <w:pStyle w:val="text"/>
      </w:pPr>
      <w:r>
        <w:t xml:space="preserve">本《若干意见》严格依据《中共河南省纪委关于印发〈全省纪检监察机关 2025 年集中整治群众身边不正之风和腐败问题实施方案〉的通知》（豫纪发〔2025〕4 号）、《河南省历史遗留问题导致的不动产 “登记难” 清理化解若干措施》（豫清理化解专班〔2024〕2 号）、《河南省自然资源厅等 12 部门关于印发〈河南省深化整治不动产 “登记难” 工作方案〉的通知》（豫自然资发〔2025〕25 号）等省级文件要求，同时参照《河南省财政厅河南省国土资源厅关于已购公有住房和经济适用房上市出售土地出让金缴纳标准问题的通知》（豫财综〔2004〕24 号）、《平顶山市自然资源和规划局等 5 部门关于推进已购共有住房和单位经济适用房等历史遗留问题房屋补办不动产登记的通告（试行）》以及《舞钢市人民政府关于公布舞钢市区及建制镇土地级别与基准地价更新成果的通知》（舞政〔2025〕5 号）等政策文件，确保内容合法合规、与上级要求保持一致。</w:t>
      </w:r>
    </w:p>
    <w:p>
      <w:pPr>
        <w:pStyle w:val="Heading2"/>
      </w:pPr>
      <w:r>
        <w:t xml:space="preserve">三、主要内容说明</w:t>
      </w:r>
    </w:p>
    <w:p>
      <w:pPr>
        <w:pStyle w:val="text"/>
      </w:pPr>
      <w:r>
        <w:t xml:space="preserve">《若干意见》聚焦历史遗留不动产登记中的核心难点问题，分五个部分作出具体规定：</w:t>
      </w:r>
    </w:p>
    <w:p>
      <w:pPr>
        <w:pStyle w:val="Heading3"/>
      </w:pPr>
      <w:r>
        <w:t xml:space="preserve">（一）土地出让价款补缴</w:t>
      </w:r>
    </w:p>
    <w:p>
      <w:pPr>
        <w:pStyle w:val="text"/>
      </w:pPr>
      <w:r>
        <w:t xml:space="preserve">针对不同类型房屋的土地性质和登记需求，明确了四类补缴标准：一是已购公有住房，以楼房实际用地范围为依据，按住房建筑面积分摊用地面积补缴，执行省级出让金标准和我市基准地价；二是安居工程、单位集资房及个人开发房屋，无需办理土地出让手续，按普通住房差价款乘以建筑面积补缴，明确了垭口、寺坡等重点区域的房屋交易市场综合价格；三是城市规划区内个人自建独院住宅，区分批准面积内外，按市场价与划拨权益价的差额或市场价补缴，细化了不同容积率下的市场价、划拨权益价及补缴标准；四是已出让国有建设用地超批准面积建设的，按项目建设时政策补办用地手续，确保政策衔接连贯。</w:t>
      </w:r>
    </w:p>
    <w:p>
      <w:pPr>
        <w:pStyle w:val="Heading3"/>
      </w:pPr>
      <w:r>
        <w:t xml:space="preserve">（二）划拨土地上商住综合楼商业部分处置</w:t>
      </w:r>
    </w:p>
    <w:p>
      <w:pPr>
        <w:pStyle w:val="text"/>
      </w:pPr>
      <w:r>
        <w:t xml:space="preserve">明确商业部分办理不动产转移登记时，无需额外办理土地出让手续，补缴的土地出让金按普通住房差价款乘以建筑面积计算，统一确定商业部分房屋交易市场综合价为每平方米 7000 元，简化办理流程的同时保障政策统一性。</w:t>
      </w:r>
    </w:p>
    <w:p>
      <w:pPr>
        <w:pStyle w:val="Heading3"/>
      </w:pPr>
      <w:r>
        <w:t xml:space="preserve">（三）土地使用权出让年期确定</w:t>
      </w:r>
    </w:p>
    <w:p>
      <w:pPr>
        <w:pStyle w:val="text"/>
      </w:pPr>
      <w:r>
        <w:t xml:space="preserve">为保障同一宗地出让土地使用权截止日一致，规定划拨土地上房屋补缴出让金后，以同一建筑第一套房屋缴纳出让金之日起计算年期，后续房屋登记时相应缩短年期，避免出现年期不一致的问题。</w:t>
      </w:r>
    </w:p>
    <w:p>
      <w:pPr>
        <w:pStyle w:val="Heading3"/>
      </w:pPr>
      <w:r>
        <w:t xml:space="preserve">（四）税费收取</w:t>
      </w:r>
    </w:p>
    <w:p>
      <w:pPr>
        <w:pStyle w:val="text"/>
      </w:pPr>
      <w:r>
        <w:t xml:space="preserve">针对已购公有住房、安居工程等类型房屋，明确税务部门按税收政策收取税费，同时对政府机关、事业单位、国有企业灭失、兼并、重组等特殊情况，规定由承继单位、上级主管部门或市政府指定机构代为提供登记资料，确保税费征收和登记办理顺利推进。</w:t>
      </w:r>
    </w:p>
    <w:p>
      <w:pPr>
        <w:pStyle w:val="Heading3"/>
      </w:pPr>
      <w:r>
        <w:t xml:space="preserve">（五）附则</w:t>
      </w:r>
    </w:p>
    <w:p>
      <w:pPr>
        <w:pStyle w:val="text"/>
      </w:pPr>
      <w:r>
        <w:t xml:space="preserve">明确《若干意见》由市自然资源和规划局、国家税务总局舞钢市税务局负责解释，确保政策执行过程中出现的疑问能够得到及时回应和规范解答。</w:t>
      </w:r>
    </w:p>
    <w:p>
      <w:pPr>
        <w:pStyle w:val="Heading2"/>
      </w:pPr>
      <w:r>
        <w:t xml:space="preserve">四、实施意义</w:t>
      </w:r>
    </w:p>
    <w:p>
      <w:pPr>
        <w:pStyle w:val="text"/>
      </w:pPr>
      <w:r>
        <w:t xml:space="preserve">本《若干意见》的制定实施，是我市落实上级集中整治群众身边不正之风和腐败问题要求的具体举措，通过明确各类历史遗留不动产登记的办理标准、流程和责任主体，能够有效破解长期以来困扰群众的 “登记难” 问题，切实维护群众合法财产权益。同时，有助于规范我市不动产登记管理秩序，盘活存量房产资源，优化营商环境，推动房地产市场健康发展，为我市经济社会高质量发展提供有力保障。</w:t>
      </w:r>
    </w:p>
    <w:p>
      <w:pPr>
        <w:pStyle w:val="blockquote"/>
        <w:pBdr>
          <w:left w:val="single" w:color="BBBFC4" w:sz="18" w:space="0"/>
        </w:pBdr>
      </w:pPr>
      <w:r>
        <w:t xml:space="preserve">（注：文档部分内容可能由 AI 生成）</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2025-12-19T01:34:45.925Z</dcterms:created>
  <dcterms:modified xsi:type="dcterms:W3CDTF">2025-12-19T01:34:45.925Z</dcterms:modified>
</cp:coreProperties>
</file>

<file path=docProps/custom.xml><?xml version="1.0" encoding="utf-8"?>
<Properties xmlns="http://schemas.openxmlformats.org/officeDocument/2006/custom-properties" xmlns:vt="http://schemas.openxmlformats.org/officeDocument/2006/docPropsVTypes"/>
</file>