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河南省县域义务教育优质均衡发展督导</w:t>
      </w:r>
    </w:p>
    <w:p>
      <w:pPr>
        <w:pStyle w:val="2"/>
        <w:snapToGrid w:val="0"/>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评估指标体系</w:t>
      </w:r>
    </w:p>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单位（盖章）：</w:t>
      </w:r>
      <w:r>
        <w:rPr>
          <w:rFonts w:hint="eastAsia" w:asciiTheme="minorEastAsia" w:hAnsiTheme="minorEastAsia" w:eastAsiaTheme="minorEastAsia" w:cstheme="minorEastAsia"/>
          <w:sz w:val="24"/>
          <w:szCs w:val="24"/>
          <w:lang w:val="en-US" w:eastAsia="zh-CN"/>
        </w:rPr>
        <w:t xml:space="preserve">                                                年    月   日</w:t>
      </w:r>
    </w:p>
    <w:tbl>
      <w:tblPr>
        <w:tblStyle w:val="5"/>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913"/>
        <w:gridCol w:w="5052"/>
        <w:gridCol w:w="118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86"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A</w:t>
            </w:r>
            <w:r>
              <w:rPr>
                <w:rFonts w:hint="eastAsia" w:ascii="黑体" w:hAnsi="黑体" w:eastAsia="黑体" w:cs="宋体"/>
                <w:bCs/>
                <w:sz w:val="22"/>
                <w:szCs w:val="22"/>
              </w:rPr>
              <w:t>级指标</w:t>
            </w:r>
          </w:p>
        </w:tc>
        <w:tc>
          <w:tcPr>
            <w:tcW w:w="494"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B</w:t>
            </w:r>
            <w:r>
              <w:rPr>
                <w:rFonts w:hint="eastAsia" w:ascii="黑体" w:hAnsi="黑体" w:eastAsia="黑体" w:cs="宋体"/>
                <w:bCs/>
                <w:sz w:val="22"/>
                <w:szCs w:val="22"/>
              </w:rPr>
              <w:t>级指标</w:t>
            </w:r>
          </w:p>
        </w:tc>
        <w:tc>
          <w:tcPr>
            <w:tcW w:w="2735"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C</w:t>
            </w:r>
            <w:r>
              <w:rPr>
                <w:rFonts w:hint="eastAsia" w:ascii="黑体" w:hAnsi="黑体" w:eastAsia="黑体" w:cs="宋体"/>
                <w:bCs/>
                <w:sz w:val="22"/>
                <w:szCs w:val="22"/>
              </w:rPr>
              <w:t>级指标及评估要点</w:t>
            </w:r>
          </w:p>
        </w:tc>
        <w:tc>
          <w:tcPr>
            <w:tcW w:w="642" w:type="pct"/>
            <w:noWrap w:val="0"/>
            <w:tcMar>
              <w:left w:w="0" w:type="dxa"/>
              <w:right w:w="0" w:type="dxa"/>
            </w:tcMar>
            <w:vAlign w:val="center"/>
          </w:tcPr>
          <w:p>
            <w:pPr>
              <w:adjustRightInd w:val="0"/>
              <w:snapToGrid w:val="0"/>
              <w:jc w:val="center"/>
              <w:rPr>
                <w:rFonts w:hint="eastAsia" w:ascii="黑体" w:hAnsi="黑体" w:eastAsia="黑体"/>
                <w:bCs/>
                <w:sz w:val="22"/>
                <w:szCs w:val="22"/>
                <w:lang w:val="en"/>
              </w:rPr>
            </w:pPr>
            <w:r>
              <w:rPr>
                <w:rFonts w:hint="eastAsia" w:ascii="黑体" w:hAnsi="黑体" w:eastAsia="黑体"/>
                <w:bCs/>
                <w:sz w:val="22"/>
                <w:szCs w:val="22"/>
                <w:lang w:val="en"/>
              </w:rPr>
              <w:t>指标类型</w:t>
            </w:r>
          </w:p>
        </w:tc>
        <w:tc>
          <w:tcPr>
            <w:tcW w:w="641" w:type="pct"/>
            <w:noWrap w:val="0"/>
            <w:tcMar>
              <w:left w:w="0" w:type="dxa"/>
              <w:right w:w="0" w:type="dxa"/>
            </w:tcMar>
            <w:vAlign w:val="center"/>
          </w:tcPr>
          <w:p>
            <w:pPr>
              <w:adjustRightInd w:val="0"/>
              <w:snapToGrid w:val="0"/>
              <w:jc w:val="center"/>
              <w:rPr>
                <w:rFonts w:hint="eastAsia" w:ascii="黑体" w:hAnsi="黑体" w:eastAsia="黑体" w:cs="Times New Roman"/>
                <w:bCs/>
                <w:kern w:val="2"/>
                <w:sz w:val="22"/>
                <w:szCs w:val="22"/>
                <w:lang w:val="en" w:eastAsia="zh-CN" w:bidi="ar-SA"/>
              </w:rPr>
            </w:pPr>
            <w:r>
              <w:rPr>
                <w:rFonts w:hint="eastAsia" w:ascii="黑体" w:hAnsi="黑体" w:eastAsia="黑体" w:cs="Times New Roman"/>
                <w:bCs/>
                <w:kern w:val="2"/>
                <w:sz w:val="22"/>
                <w:szCs w:val="22"/>
                <w:lang w:val="en" w:eastAsia="zh-CN" w:bidi="ar-SA"/>
              </w:rPr>
              <w:t>当前数值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A1</w:t>
            </w:r>
          </w:p>
          <w:p>
            <w:pPr>
              <w:adjustRightInd w:val="0"/>
              <w:snapToGrid w:val="0"/>
              <w:jc w:val="center"/>
              <w:rPr>
                <w:rFonts w:hint="eastAsia" w:ascii="仿宋_GB2312"/>
                <w:b/>
                <w:bCs/>
                <w:sz w:val="22"/>
                <w:szCs w:val="22"/>
              </w:rPr>
            </w:pPr>
            <w:r>
              <w:rPr>
                <w:rFonts w:hint="eastAsia" w:ascii="仿宋_GB2312" w:cs="宋体"/>
                <w:b/>
                <w:bCs/>
                <w:sz w:val="22"/>
                <w:szCs w:val="22"/>
              </w:rPr>
              <w:t>资源</w:t>
            </w:r>
          </w:p>
          <w:p>
            <w:pPr>
              <w:adjustRightInd w:val="0"/>
              <w:snapToGrid w:val="0"/>
              <w:jc w:val="center"/>
              <w:rPr>
                <w:rFonts w:hint="eastAsia" w:ascii="仿宋_GB2312"/>
                <w:b/>
                <w:bCs/>
                <w:sz w:val="22"/>
                <w:szCs w:val="22"/>
              </w:rPr>
            </w:pPr>
            <w:r>
              <w:rPr>
                <w:rFonts w:hint="eastAsia" w:ascii="仿宋_GB2312" w:cs="宋体"/>
                <w:b/>
                <w:bCs/>
                <w:sz w:val="22"/>
                <w:szCs w:val="22"/>
              </w:rPr>
              <w:t>配置</w:t>
            </w: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B1</w:t>
            </w:r>
          </w:p>
          <w:p>
            <w:pPr>
              <w:adjustRightInd w:val="0"/>
              <w:snapToGrid w:val="0"/>
              <w:jc w:val="center"/>
              <w:rPr>
                <w:rFonts w:hint="eastAsia" w:ascii="仿宋_GB2312"/>
                <w:b/>
                <w:bCs/>
                <w:sz w:val="22"/>
                <w:szCs w:val="22"/>
              </w:rPr>
            </w:pPr>
            <w:r>
              <w:rPr>
                <w:rFonts w:hint="eastAsia" w:ascii="仿宋_GB2312" w:cs="宋体"/>
                <w:b/>
                <w:bCs/>
                <w:sz w:val="22"/>
                <w:szCs w:val="22"/>
              </w:rPr>
              <w:t>教师</w:t>
            </w:r>
          </w:p>
          <w:p>
            <w:pPr>
              <w:adjustRightInd w:val="0"/>
              <w:snapToGrid w:val="0"/>
              <w:jc w:val="center"/>
              <w:rPr>
                <w:rFonts w:hint="eastAsia" w:ascii="仿宋_GB2312"/>
                <w:b/>
                <w:bCs/>
                <w:sz w:val="22"/>
                <w:szCs w:val="22"/>
              </w:rPr>
            </w:pPr>
            <w:r>
              <w:rPr>
                <w:rFonts w:hint="eastAsia" w:ascii="仿宋_GB2312" w:cs="宋体"/>
                <w:b/>
                <w:bCs/>
                <w:sz w:val="22"/>
                <w:szCs w:val="22"/>
              </w:rPr>
              <w:t>队伍</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w:t>
            </w:r>
            <w:r>
              <w:rPr>
                <w:rFonts w:hint="eastAsia" w:ascii="仿宋_GB2312"/>
                <w:b/>
                <w:sz w:val="22"/>
                <w:szCs w:val="22"/>
                <w:lang w:val="en-US" w:eastAsia="zh-CN"/>
              </w:rPr>
              <w:t>1*</w:t>
            </w:r>
            <w:r>
              <w:rPr>
                <w:rFonts w:hint="eastAsia" w:ascii="仿宋_GB2312" w:cs="宋体"/>
                <w:sz w:val="22"/>
                <w:szCs w:val="22"/>
              </w:rPr>
              <w:t>每百名学生拥有高于规定学历教师数：小学、初中分别达到</w:t>
            </w:r>
            <w:r>
              <w:rPr>
                <w:rFonts w:hint="eastAsia" w:ascii="仿宋_GB2312"/>
                <w:sz w:val="22"/>
                <w:szCs w:val="22"/>
              </w:rPr>
              <w:t>4.2</w:t>
            </w:r>
            <w:r>
              <w:rPr>
                <w:rFonts w:hint="eastAsia" w:ascii="仿宋_GB2312" w:cs="宋体"/>
                <w:sz w:val="22"/>
                <w:szCs w:val="22"/>
              </w:rPr>
              <w:t>人以上、</w:t>
            </w:r>
            <w:r>
              <w:rPr>
                <w:rFonts w:hint="eastAsia" w:ascii="仿宋_GB2312"/>
                <w:sz w:val="22"/>
                <w:szCs w:val="22"/>
              </w:rPr>
              <w:t>5.3</w:t>
            </w:r>
            <w:r>
              <w:rPr>
                <w:rFonts w:hint="eastAsia" w:ascii="仿宋_GB2312" w:cs="宋体"/>
                <w:sz w:val="22"/>
                <w:szCs w:val="22"/>
              </w:rPr>
              <w:t>人以上。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w:t>
            </w:r>
            <w:r>
              <w:rPr>
                <w:rFonts w:hint="eastAsia" w:ascii="仿宋_GB2312"/>
                <w:b/>
                <w:sz w:val="22"/>
                <w:szCs w:val="22"/>
                <w:lang w:val="en-US" w:eastAsia="zh-CN"/>
              </w:rPr>
              <w:t>*</w:t>
            </w:r>
            <w:r>
              <w:rPr>
                <w:rFonts w:hint="eastAsia" w:ascii="仿宋_GB2312" w:cs="宋体"/>
                <w:sz w:val="22"/>
                <w:szCs w:val="22"/>
              </w:rPr>
              <w:t>每</w:t>
            </w:r>
            <w:r>
              <w:rPr>
                <w:rFonts w:hint="eastAsia" w:ascii="仿宋_GB2312" w:cs="宋体"/>
                <w:spacing w:val="-10"/>
                <w:sz w:val="22"/>
                <w:szCs w:val="22"/>
              </w:rPr>
              <w:t>百名学生拥有县级以上骨干教师数：小学、初中均达到</w:t>
            </w:r>
            <w:r>
              <w:rPr>
                <w:rFonts w:hint="eastAsia" w:ascii="仿宋_GB2312"/>
                <w:spacing w:val="-10"/>
                <w:sz w:val="22"/>
                <w:szCs w:val="22"/>
              </w:rPr>
              <w:t>1</w:t>
            </w:r>
            <w:r>
              <w:rPr>
                <w:rFonts w:hint="eastAsia" w:ascii="仿宋_GB2312" w:cs="宋体"/>
                <w:spacing w:val="-10"/>
                <w:sz w:val="22"/>
                <w:szCs w:val="22"/>
              </w:rPr>
              <w:t>人以上。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C3</w:t>
            </w:r>
            <w:r>
              <w:rPr>
                <w:rFonts w:hint="eastAsia" w:ascii="仿宋_GB2312"/>
                <w:b/>
                <w:sz w:val="22"/>
                <w:szCs w:val="22"/>
                <w:lang w:val="en-US" w:eastAsia="zh-CN"/>
              </w:rPr>
              <w:t>*</w:t>
            </w:r>
            <w:r>
              <w:rPr>
                <w:rFonts w:hint="eastAsia" w:ascii="仿宋_GB2312" w:cs="宋体"/>
                <w:sz w:val="22"/>
                <w:szCs w:val="22"/>
              </w:rPr>
              <w:t>每百名学生拥有体育、艺术（美术、音乐）专任教师数：小学、初中均达到</w:t>
            </w:r>
            <w:r>
              <w:rPr>
                <w:rFonts w:hint="eastAsia" w:ascii="仿宋_GB2312"/>
                <w:sz w:val="22"/>
                <w:szCs w:val="22"/>
              </w:rPr>
              <w:t>0.9</w:t>
            </w:r>
            <w:r>
              <w:rPr>
                <w:rFonts w:hint="eastAsia" w:ascii="仿宋_GB2312" w:cs="宋体"/>
                <w:sz w:val="22"/>
                <w:szCs w:val="22"/>
              </w:rPr>
              <w:t>人以上。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B2</w:t>
            </w:r>
          </w:p>
          <w:p>
            <w:pPr>
              <w:adjustRightInd w:val="0"/>
              <w:snapToGrid w:val="0"/>
              <w:jc w:val="center"/>
              <w:rPr>
                <w:rFonts w:hint="eastAsia" w:ascii="仿宋_GB2312"/>
                <w:b/>
                <w:bCs/>
                <w:sz w:val="22"/>
                <w:szCs w:val="22"/>
              </w:rPr>
            </w:pPr>
            <w:r>
              <w:rPr>
                <w:rFonts w:hint="eastAsia" w:ascii="仿宋_GB2312" w:cs="宋体"/>
                <w:b/>
                <w:bCs/>
                <w:sz w:val="22"/>
                <w:szCs w:val="22"/>
              </w:rPr>
              <w:t>办学</w:t>
            </w:r>
          </w:p>
          <w:p>
            <w:pPr>
              <w:adjustRightInd w:val="0"/>
              <w:snapToGrid w:val="0"/>
              <w:jc w:val="center"/>
              <w:rPr>
                <w:rFonts w:hint="eastAsia" w:ascii="仿宋_GB2312"/>
                <w:b/>
                <w:bCs/>
                <w:sz w:val="22"/>
                <w:szCs w:val="22"/>
              </w:rPr>
            </w:pPr>
            <w:r>
              <w:rPr>
                <w:rFonts w:hint="eastAsia" w:ascii="仿宋_GB2312" w:cs="宋体"/>
                <w:b/>
                <w:bCs/>
                <w:sz w:val="22"/>
                <w:szCs w:val="22"/>
              </w:rPr>
              <w:t>条件</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w:t>
            </w:r>
            <w:r>
              <w:rPr>
                <w:rFonts w:hint="eastAsia" w:ascii="仿宋_GB2312"/>
                <w:b/>
                <w:sz w:val="22"/>
                <w:szCs w:val="22"/>
                <w:lang w:val="en-US" w:eastAsia="zh-CN"/>
              </w:rPr>
              <w:t>4*</w:t>
            </w:r>
            <w:r>
              <w:rPr>
                <w:rFonts w:hint="eastAsia" w:ascii="仿宋_GB2312" w:cs="宋体"/>
                <w:sz w:val="22"/>
                <w:szCs w:val="22"/>
              </w:rPr>
              <w:t>生均教学及辅助用房面积：小学、初中分别达到</w:t>
            </w:r>
            <w:r>
              <w:rPr>
                <w:rFonts w:hint="eastAsia" w:ascii="仿宋_GB2312"/>
                <w:sz w:val="22"/>
                <w:szCs w:val="22"/>
              </w:rPr>
              <w:t>4.5</w:t>
            </w:r>
            <w:r>
              <w:rPr>
                <w:rFonts w:hint="eastAsia" w:ascii="仿宋_GB2312" w:cs="宋体"/>
                <w:sz w:val="22"/>
                <w:szCs w:val="22"/>
              </w:rPr>
              <w:t>平方米以上、</w:t>
            </w:r>
            <w:r>
              <w:rPr>
                <w:rFonts w:hint="eastAsia" w:ascii="仿宋_GB2312"/>
                <w:sz w:val="22"/>
                <w:szCs w:val="22"/>
              </w:rPr>
              <w:t>5.8</w:t>
            </w:r>
            <w:r>
              <w:rPr>
                <w:rFonts w:hint="eastAsia" w:ascii="仿宋_GB2312" w:cs="宋体"/>
                <w:sz w:val="22"/>
                <w:szCs w:val="22"/>
              </w:rPr>
              <w:t>平方米以上。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C5</w:t>
            </w:r>
            <w:r>
              <w:rPr>
                <w:rFonts w:hint="eastAsia" w:ascii="仿宋_GB2312"/>
                <w:b/>
                <w:sz w:val="22"/>
                <w:szCs w:val="22"/>
                <w:lang w:val="en-US" w:eastAsia="zh-CN"/>
              </w:rPr>
              <w:t>*</w:t>
            </w:r>
            <w:r>
              <w:rPr>
                <w:rFonts w:hint="eastAsia" w:ascii="仿宋_GB2312" w:cs="宋体"/>
                <w:sz w:val="22"/>
                <w:szCs w:val="22"/>
              </w:rPr>
              <w:t>生均体育运动场馆面积</w:t>
            </w:r>
            <w:r>
              <w:rPr>
                <w:rFonts w:hint="eastAsia" w:ascii="仿宋_GB2312"/>
                <w:sz w:val="22"/>
                <w:szCs w:val="22"/>
              </w:rPr>
              <w:t xml:space="preserve">: </w:t>
            </w:r>
            <w:r>
              <w:rPr>
                <w:rFonts w:hint="eastAsia" w:ascii="仿宋_GB2312" w:cs="宋体"/>
                <w:sz w:val="22"/>
                <w:szCs w:val="22"/>
              </w:rPr>
              <w:t>小学、初中分别达到</w:t>
            </w:r>
            <w:r>
              <w:rPr>
                <w:rFonts w:hint="eastAsia" w:ascii="仿宋_GB2312"/>
                <w:sz w:val="22"/>
                <w:szCs w:val="22"/>
              </w:rPr>
              <w:t>7.5</w:t>
            </w:r>
            <w:r>
              <w:rPr>
                <w:rFonts w:hint="eastAsia" w:ascii="仿宋_GB2312" w:cs="宋体"/>
                <w:sz w:val="22"/>
                <w:szCs w:val="22"/>
              </w:rPr>
              <w:t>平方米以上、</w:t>
            </w:r>
            <w:r>
              <w:rPr>
                <w:rFonts w:hint="eastAsia" w:ascii="仿宋_GB2312"/>
                <w:sz w:val="22"/>
                <w:szCs w:val="22"/>
              </w:rPr>
              <w:t>10.2</w:t>
            </w:r>
            <w:r>
              <w:rPr>
                <w:rFonts w:hint="eastAsia" w:ascii="仿宋_GB2312" w:cs="宋体"/>
                <w:sz w:val="22"/>
                <w:szCs w:val="22"/>
              </w:rPr>
              <w:t>平方米以上。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C6</w:t>
            </w:r>
            <w:r>
              <w:rPr>
                <w:rFonts w:hint="eastAsia" w:ascii="仿宋_GB2312"/>
                <w:b/>
                <w:sz w:val="22"/>
                <w:szCs w:val="22"/>
                <w:lang w:val="en-US" w:eastAsia="zh-CN"/>
              </w:rPr>
              <w:t>*</w:t>
            </w:r>
            <w:r>
              <w:rPr>
                <w:rFonts w:hint="eastAsia" w:ascii="仿宋_GB2312" w:cs="宋体"/>
                <w:sz w:val="22"/>
                <w:szCs w:val="22"/>
              </w:rPr>
              <w:t>生均教学仪器设备值：小学、初中分别达到</w:t>
            </w:r>
            <w:r>
              <w:rPr>
                <w:rFonts w:hint="eastAsia" w:ascii="仿宋_GB2312"/>
                <w:sz w:val="22"/>
                <w:szCs w:val="22"/>
              </w:rPr>
              <w:t>2000</w:t>
            </w:r>
            <w:r>
              <w:rPr>
                <w:rFonts w:hint="eastAsia" w:ascii="仿宋_GB2312" w:cs="宋体"/>
                <w:sz w:val="22"/>
                <w:szCs w:val="22"/>
              </w:rPr>
              <w:t>元以上、</w:t>
            </w:r>
            <w:r>
              <w:rPr>
                <w:rFonts w:hint="eastAsia" w:ascii="仿宋_GB2312"/>
                <w:sz w:val="22"/>
                <w:szCs w:val="22"/>
              </w:rPr>
              <w:t>2500</w:t>
            </w:r>
            <w:r>
              <w:rPr>
                <w:rFonts w:hint="eastAsia" w:ascii="仿宋_GB2312" w:cs="宋体"/>
                <w:sz w:val="22"/>
                <w:szCs w:val="22"/>
              </w:rPr>
              <w:t>元以上。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C7</w:t>
            </w:r>
            <w:r>
              <w:rPr>
                <w:rFonts w:hint="eastAsia" w:ascii="仿宋_GB2312"/>
                <w:b/>
                <w:sz w:val="22"/>
                <w:szCs w:val="22"/>
                <w:lang w:val="en-US" w:eastAsia="zh-CN"/>
              </w:rPr>
              <w:t>*</w:t>
            </w:r>
            <w:r>
              <w:rPr>
                <w:rFonts w:hint="eastAsia" w:ascii="仿宋_GB2312" w:cs="宋体"/>
                <w:sz w:val="22"/>
                <w:szCs w:val="22"/>
              </w:rPr>
              <w:t>每百名学生拥有网络多媒体教室数：小学、初中分别达到</w:t>
            </w:r>
            <w:r>
              <w:rPr>
                <w:rFonts w:hint="eastAsia" w:ascii="仿宋_GB2312"/>
                <w:sz w:val="22"/>
                <w:szCs w:val="22"/>
              </w:rPr>
              <w:t>2.3</w:t>
            </w:r>
            <w:r>
              <w:rPr>
                <w:rFonts w:hint="eastAsia" w:ascii="仿宋_GB2312" w:cs="宋体"/>
                <w:sz w:val="22"/>
                <w:szCs w:val="22"/>
              </w:rPr>
              <w:t>间以上、</w:t>
            </w:r>
            <w:r>
              <w:rPr>
                <w:rFonts w:hint="eastAsia" w:ascii="仿宋_GB2312"/>
                <w:sz w:val="22"/>
                <w:szCs w:val="22"/>
              </w:rPr>
              <w:t>2.4</w:t>
            </w:r>
            <w:r>
              <w:rPr>
                <w:rFonts w:hint="eastAsia" w:ascii="仿宋_GB2312" w:cs="宋体"/>
                <w:sz w:val="22"/>
                <w:szCs w:val="22"/>
              </w:rPr>
              <w:t>间以上。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B3</w:t>
            </w:r>
          </w:p>
          <w:p>
            <w:pPr>
              <w:adjustRightInd w:val="0"/>
              <w:snapToGrid w:val="0"/>
              <w:jc w:val="center"/>
              <w:rPr>
                <w:rFonts w:hint="eastAsia" w:ascii="仿宋_GB2312"/>
                <w:b/>
                <w:bCs/>
                <w:sz w:val="22"/>
                <w:szCs w:val="22"/>
              </w:rPr>
            </w:pPr>
            <w:r>
              <w:rPr>
                <w:rFonts w:hint="eastAsia" w:ascii="仿宋_GB2312" w:cs="宋体"/>
                <w:b/>
                <w:bCs/>
                <w:sz w:val="22"/>
                <w:szCs w:val="22"/>
              </w:rPr>
              <w:t>办学</w:t>
            </w:r>
          </w:p>
          <w:p>
            <w:pPr>
              <w:adjustRightInd w:val="0"/>
              <w:snapToGrid w:val="0"/>
              <w:jc w:val="center"/>
              <w:rPr>
                <w:rFonts w:hint="eastAsia" w:ascii="仿宋_GB2312"/>
                <w:b/>
                <w:bCs/>
                <w:sz w:val="22"/>
                <w:szCs w:val="22"/>
              </w:rPr>
            </w:pPr>
            <w:r>
              <w:rPr>
                <w:rFonts w:hint="eastAsia" w:ascii="仿宋_GB2312" w:cs="宋体"/>
                <w:b/>
                <w:bCs/>
                <w:sz w:val="22"/>
                <w:szCs w:val="22"/>
              </w:rPr>
              <w:t>条件</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C8</w:t>
            </w:r>
            <w:r>
              <w:rPr>
                <w:rFonts w:hint="eastAsia" w:ascii="仿宋_GB2312" w:cs="宋体"/>
                <w:sz w:val="22"/>
                <w:szCs w:val="22"/>
              </w:rPr>
              <w:t>县域内义务教育学校规划布局合理，符合国家和省有关规定要求。</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C9</w:t>
            </w:r>
            <w:r>
              <w:rPr>
                <w:rFonts w:hint="eastAsia" w:ascii="仿宋_GB2312" w:cs="宋体"/>
                <w:sz w:val="22"/>
                <w:szCs w:val="22"/>
              </w:rPr>
              <w:t>县域内城乡义务教育学校建设标准统一、教师编制标准统一、生均公用经费基准定额统一、基本装备配置标准统一。</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C10</w:t>
            </w:r>
            <w:r>
              <w:rPr>
                <w:rFonts w:hint="eastAsia" w:ascii="仿宋_GB2312"/>
                <w:b/>
                <w:sz w:val="22"/>
                <w:szCs w:val="22"/>
                <w:lang w:val="en-US" w:eastAsia="zh-CN"/>
              </w:rPr>
              <w:t>*</w:t>
            </w:r>
            <w:r>
              <w:rPr>
                <w:rFonts w:hint="eastAsia" w:ascii="仿宋_GB2312" w:cs="宋体"/>
                <w:sz w:val="22"/>
                <w:szCs w:val="22"/>
              </w:rPr>
              <w:t>所有小学、初中每</w:t>
            </w:r>
            <w:r>
              <w:rPr>
                <w:rFonts w:hint="eastAsia" w:ascii="仿宋_GB2312"/>
                <w:sz w:val="22"/>
                <w:szCs w:val="22"/>
              </w:rPr>
              <w:t>12</w:t>
            </w:r>
            <w:r>
              <w:rPr>
                <w:rFonts w:hint="eastAsia" w:ascii="仿宋_GB2312" w:cs="宋体"/>
                <w:sz w:val="22"/>
                <w:szCs w:val="22"/>
              </w:rPr>
              <w:t>个班级配备音乐、美术专用教室</w:t>
            </w:r>
            <w:r>
              <w:rPr>
                <w:rFonts w:hint="eastAsia" w:ascii="仿宋_GB2312"/>
                <w:sz w:val="22"/>
                <w:szCs w:val="22"/>
              </w:rPr>
              <w:t>1</w:t>
            </w:r>
            <w:r>
              <w:rPr>
                <w:rFonts w:hint="eastAsia" w:ascii="仿宋_GB2312" w:cs="宋体"/>
                <w:sz w:val="22"/>
                <w:szCs w:val="22"/>
              </w:rPr>
              <w:t>间以上；其中，每间音乐专用教室面积不小于</w:t>
            </w:r>
            <w:r>
              <w:rPr>
                <w:rFonts w:hint="eastAsia" w:ascii="仿宋_GB2312"/>
                <w:sz w:val="22"/>
                <w:szCs w:val="22"/>
              </w:rPr>
              <w:t>96</w:t>
            </w:r>
            <w:r>
              <w:rPr>
                <w:rFonts w:hint="eastAsia" w:ascii="仿宋_GB2312" w:cs="宋体"/>
                <w:sz w:val="22"/>
                <w:szCs w:val="22"/>
              </w:rPr>
              <w:t>平方米，每间美术专用教室面积不小于</w:t>
            </w:r>
            <w:r>
              <w:rPr>
                <w:rFonts w:hint="eastAsia" w:ascii="仿宋_GB2312"/>
                <w:sz w:val="22"/>
                <w:szCs w:val="22"/>
              </w:rPr>
              <w:t>90</w:t>
            </w:r>
            <w:r>
              <w:rPr>
                <w:rFonts w:hint="eastAsia" w:ascii="仿宋_GB2312" w:cs="宋体"/>
                <w:sz w:val="22"/>
                <w:szCs w:val="22"/>
              </w:rPr>
              <w:t>平方米。</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w:t>
            </w:r>
            <w:r>
              <w:rPr>
                <w:rFonts w:hint="eastAsia" w:ascii="仿宋_GB2312"/>
                <w:b/>
                <w:sz w:val="22"/>
                <w:szCs w:val="22"/>
                <w:lang w:val="en-US" w:eastAsia="zh-CN"/>
              </w:rPr>
              <w:t>1*</w:t>
            </w:r>
            <w:r>
              <w:rPr>
                <w:rFonts w:hint="eastAsia" w:ascii="仿宋_GB2312" w:cs="宋体"/>
                <w:sz w:val="22"/>
                <w:szCs w:val="22"/>
              </w:rPr>
              <w:t>所有小学、初中规模不超过</w:t>
            </w:r>
            <w:r>
              <w:rPr>
                <w:rFonts w:hint="eastAsia" w:ascii="仿宋_GB2312"/>
                <w:sz w:val="22"/>
                <w:szCs w:val="22"/>
              </w:rPr>
              <w:t>2000</w:t>
            </w:r>
            <w:r>
              <w:rPr>
                <w:rFonts w:hint="eastAsia" w:ascii="仿宋_GB2312" w:cs="宋体"/>
                <w:sz w:val="22"/>
                <w:szCs w:val="22"/>
              </w:rPr>
              <w:t>人，九年一贯制学校、十二年一贯制学校义务教育阶段规模不超过</w:t>
            </w:r>
            <w:r>
              <w:rPr>
                <w:rFonts w:hint="eastAsia" w:ascii="仿宋_GB2312"/>
                <w:sz w:val="22"/>
                <w:szCs w:val="22"/>
              </w:rPr>
              <w:t>2500</w:t>
            </w:r>
            <w:r>
              <w:rPr>
                <w:rFonts w:hint="eastAsia" w:ascii="仿宋_GB2312" w:cs="宋体"/>
                <w:sz w:val="22"/>
                <w:szCs w:val="22"/>
              </w:rPr>
              <w:t>人。</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C12</w:t>
            </w:r>
            <w:r>
              <w:rPr>
                <w:rFonts w:hint="eastAsia" w:ascii="仿宋_GB2312"/>
                <w:b/>
                <w:sz w:val="22"/>
                <w:szCs w:val="22"/>
                <w:lang w:val="en-US" w:eastAsia="zh-CN"/>
              </w:rPr>
              <w:t>*</w:t>
            </w:r>
            <w:r>
              <w:rPr>
                <w:rFonts w:hint="eastAsia" w:ascii="仿宋_GB2312" w:cs="宋体"/>
                <w:sz w:val="22"/>
                <w:szCs w:val="22"/>
              </w:rPr>
              <w:t>小学、初中所有班级学生数分别不超过</w:t>
            </w:r>
            <w:r>
              <w:rPr>
                <w:rFonts w:hint="eastAsia" w:ascii="仿宋_GB2312"/>
                <w:sz w:val="22"/>
                <w:szCs w:val="22"/>
              </w:rPr>
              <w:t>45</w:t>
            </w:r>
            <w:r>
              <w:rPr>
                <w:rFonts w:hint="eastAsia" w:ascii="仿宋_GB2312" w:cs="宋体"/>
                <w:sz w:val="22"/>
                <w:szCs w:val="22"/>
              </w:rPr>
              <w:t>人、</w:t>
            </w:r>
            <w:r>
              <w:rPr>
                <w:rFonts w:hint="eastAsia" w:ascii="仿宋_GB2312"/>
                <w:sz w:val="22"/>
                <w:szCs w:val="22"/>
              </w:rPr>
              <w:t>50</w:t>
            </w:r>
            <w:r>
              <w:rPr>
                <w:rFonts w:hint="eastAsia" w:ascii="仿宋_GB2312" w:cs="宋体"/>
                <w:sz w:val="22"/>
                <w:szCs w:val="22"/>
              </w:rPr>
              <w:t>人。</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B4</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b/>
                <w:bCs/>
                <w:sz w:val="22"/>
                <w:szCs w:val="22"/>
              </w:rPr>
            </w:pPr>
            <w:r>
              <w:rPr>
                <w:rFonts w:hint="eastAsia" w:ascii="仿宋_GB2312" w:cs="宋体"/>
                <w:b/>
                <w:bCs/>
                <w:sz w:val="22"/>
                <w:szCs w:val="22"/>
              </w:rPr>
              <w:t>经费</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C13</w:t>
            </w:r>
            <w:r>
              <w:rPr>
                <w:rFonts w:hint="eastAsia" w:ascii="仿宋_GB2312"/>
                <w:b/>
                <w:sz w:val="22"/>
                <w:szCs w:val="22"/>
                <w:lang w:val="en-US" w:eastAsia="zh-CN"/>
              </w:rPr>
              <w:t>*</w:t>
            </w:r>
            <w:r>
              <w:rPr>
                <w:rFonts w:hint="eastAsia" w:ascii="仿宋_GB2312"/>
                <w:sz w:val="22"/>
                <w:szCs w:val="22"/>
              </w:rPr>
              <w:t>农村</w:t>
            </w:r>
            <w:r>
              <w:rPr>
                <w:rFonts w:hint="eastAsia" w:ascii="仿宋_GB2312" w:cs="宋体"/>
                <w:sz w:val="22"/>
                <w:szCs w:val="22"/>
              </w:rPr>
              <w:t>不足</w:t>
            </w:r>
            <w:r>
              <w:rPr>
                <w:rFonts w:hint="eastAsia" w:ascii="仿宋_GB2312"/>
                <w:sz w:val="22"/>
                <w:szCs w:val="22"/>
              </w:rPr>
              <w:t>100人的小规模学校</w:t>
            </w:r>
            <w:r>
              <w:rPr>
                <w:rFonts w:hint="eastAsia" w:ascii="仿宋_GB2312" w:cs="宋体"/>
                <w:sz w:val="22"/>
                <w:szCs w:val="22"/>
              </w:rPr>
              <w:t>按</w:t>
            </w:r>
            <w:r>
              <w:rPr>
                <w:rFonts w:hint="eastAsia" w:ascii="仿宋_GB2312"/>
                <w:sz w:val="22"/>
                <w:szCs w:val="22"/>
              </w:rPr>
              <w:t>100</w:t>
            </w:r>
            <w:r>
              <w:rPr>
                <w:rFonts w:hint="eastAsia" w:ascii="仿宋_GB2312" w:cs="宋体"/>
                <w:sz w:val="22"/>
                <w:szCs w:val="22"/>
              </w:rPr>
              <w:t>人核定公用经费。</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C14</w:t>
            </w:r>
            <w:r>
              <w:rPr>
                <w:rFonts w:hint="eastAsia" w:ascii="仿宋_GB2312"/>
                <w:sz w:val="22"/>
                <w:szCs w:val="22"/>
                <w:lang w:val="en-US" w:eastAsia="zh-CN"/>
              </w:rPr>
              <w:t>*</w:t>
            </w:r>
            <w:r>
              <w:rPr>
                <w:rFonts w:hint="eastAsia" w:ascii="仿宋_GB2312" w:cs="宋体"/>
                <w:sz w:val="22"/>
                <w:szCs w:val="22"/>
              </w:rPr>
              <w:t>特殊</w:t>
            </w:r>
            <w:r>
              <w:rPr>
                <w:rFonts w:hint="eastAsia" w:ascii="仿宋_GB2312" w:cs="宋体"/>
                <w:spacing w:val="-12"/>
                <w:sz w:val="22"/>
                <w:szCs w:val="22"/>
              </w:rPr>
              <w:t>教育学校和随班就读的残疾学生生均公用经费不低于</w:t>
            </w:r>
            <w:r>
              <w:rPr>
                <w:rFonts w:hint="eastAsia" w:ascii="仿宋_GB2312"/>
                <w:spacing w:val="-12"/>
                <w:sz w:val="22"/>
                <w:szCs w:val="22"/>
              </w:rPr>
              <w:t>6000</w:t>
            </w:r>
            <w:r>
              <w:rPr>
                <w:rFonts w:hint="eastAsia" w:ascii="仿宋_GB2312" w:cs="宋体"/>
                <w:spacing w:val="-12"/>
                <w:sz w:val="22"/>
                <w:szCs w:val="22"/>
              </w:rPr>
              <w:t>元。</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C15</w:t>
            </w:r>
            <w:r>
              <w:rPr>
                <w:rFonts w:hint="eastAsia" w:ascii="仿宋_GB2312"/>
                <w:sz w:val="22"/>
                <w:szCs w:val="22"/>
              </w:rPr>
              <w:t xml:space="preserve"> </w:t>
            </w:r>
            <w:r>
              <w:rPr>
                <w:rFonts w:hint="eastAsia" w:ascii="仿宋_GB2312" w:cs="宋体"/>
                <w:sz w:val="22"/>
                <w:szCs w:val="22"/>
              </w:rPr>
              <w:t>全县义务教育学校教师平均工资收入水平不低于当地公务员平均工资收入水平，按规定足额核定教师绩效工资总量。</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 xml:space="preserve">B5 </w:t>
            </w:r>
          </w:p>
          <w:p>
            <w:pPr>
              <w:adjustRightInd w:val="0"/>
              <w:snapToGrid w:val="0"/>
              <w:jc w:val="center"/>
              <w:rPr>
                <w:rFonts w:hint="eastAsia" w:ascii="仿宋_GB2312"/>
                <w:b/>
                <w:bCs/>
                <w:sz w:val="22"/>
                <w:szCs w:val="22"/>
              </w:rPr>
            </w:pPr>
            <w:r>
              <w:rPr>
                <w:rFonts w:hint="eastAsia" w:ascii="仿宋_GB2312" w:cs="宋体"/>
                <w:b/>
                <w:bCs/>
                <w:sz w:val="22"/>
                <w:szCs w:val="22"/>
              </w:rPr>
              <w:t>教师</w:t>
            </w:r>
          </w:p>
          <w:p>
            <w:pPr>
              <w:adjustRightInd w:val="0"/>
              <w:snapToGrid w:val="0"/>
              <w:jc w:val="center"/>
              <w:rPr>
                <w:rFonts w:hint="eastAsia" w:ascii="仿宋_GB2312"/>
                <w:b/>
                <w:bCs/>
                <w:sz w:val="22"/>
                <w:szCs w:val="22"/>
              </w:rPr>
            </w:pPr>
            <w:r>
              <w:rPr>
                <w:rFonts w:hint="eastAsia" w:ascii="仿宋_GB2312" w:cs="宋体"/>
                <w:b/>
                <w:bCs/>
                <w:sz w:val="22"/>
                <w:szCs w:val="22"/>
              </w:rPr>
              <w:t>队伍</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C16</w:t>
            </w:r>
            <w:r>
              <w:rPr>
                <w:rFonts w:hint="eastAsia" w:ascii="仿宋_GB2312"/>
                <w:b/>
                <w:sz w:val="22"/>
                <w:szCs w:val="22"/>
                <w:lang w:val="en-US" w:eastAsia="zh-CN"/>
              </w:rPr>
              <w:t>*</w:t>
            </w:r>
            <w:r>
              <w:rPr>
                <w:rFonts w:hint="eastAsia" w:ascii="仿宋_GB2312" w:cs="宋体"/>
                <w:sz w:val="22"/>
                <w:szCs w:val="22"/>
              </w:rPr>
              <w:t>教师</w:t>
            </w:r>
            <w:r>
              <w:rPr>
                <w:rFonts w:hint="eastAsia" w:ascii="仿宋_GB2312"/>
                <w:sz w:val="22"/>
                <w:szCs w:val="22"/>
              </w:rPr>
              <w:t>5</w:t>
            </w:r>
            <w:r>
              <w:rPr>
                <w:rFonts w:hint="eastAsia" w:ascii="仿宋_GB2312" w:cs="宋体"/>
                <w:sz w:val="22"/>
                <w:szCs w:val="22"/>
              </w:rPr>
              <w:t>年</w:t>
            </w:r>
            <w:r>
              <w:rPr>
                <w:rFonts w:hint="eastAsia" w:ascii="仿宋_GB2312"/>
                <w:sz w:val="22"/>
                <w:szCs w:val="22"/>
              </w:rPr>
              <w:t>360</w:t>
            </w:r>
            <w:r>
              <w:rPr>
                <w:rFonts w:hint="eastAsia" w:ascii="仿宋_GB2312" w:cs="宋体"/>
                <w:sz w:val="22"/>
                <w:szCs w:val="22"/>
              </w:rPr>
              <w:t>学时培训完成率达到</w:t>
            </w:r>
            <w:r>
              <w:rPr>
                <w:rFonts w:hint="eastAsia" w:ascii="仿宋_GB2312"/>
                <w:sz w:val="22"/>
                <w:szCs w:val="22"/>
              </w:rPr>
              <w:t>100%</w:t>
            </w:r>
            <w:r>
              <w:rPr>
                <w:rFonts w:hint="eastAsia" w:ascii="仿宋_GB2312" w:cs="宋体"/>
                <w:sz w:val="22"/>
                <w:szCs w:val="22"/>
              </w:rPr>
              <w:t>。</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C17</w:t>
            </w:r>
            <w:r>
              <w:rPr>
                <w:rFonts w:hint="eastAsia" w:ascii="仿宋_GB2312" w:cs="宋体"/>
                <w:sz w:val="22"/>
                <w:szCs w:val="22"/>
              </w:rPr>
              <w:t>县级教育行政部门在核定的教职工编制总额和岗位总量内，统筹分配各校教职工编制和岗位数量。</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C18</w:t>
            </w:r>
            <w:r>
              <w:rPr>
                <w:rFonts w:hint="eastAsia" w:ascii="仿宋_GB2312" w:cs="宋体"/>
                <w:sz w:val="22"/>
                <w:szCs w:val="22"/>
              </w:rPr>
              <w:t>全县每年交流轮岗教师的比例不低于符合交流条件教师总数的</w:t>
            </w:r>
            <w:r>
              <w:rPr>
                <w:rFonts w:hint="eastAsia" w:ascii="仿宋_GB2312"/>
                <w:sz w:val="22"/>
                <w:szCs w:val="22"/>
              </w:rPr>
              <w:t>10%</w:t>
            </w:r>
            <w:r>
              <w:rPr>
                <w:rFonts w:hint="eastAsia" w:ascii="仿宋_GB2312" w:cs="宋体"/>
                <w:sz w:val="22"/>
                <w:szCs w:val="22"/>
              </w:rPr>
              <w:t>；其中，骨干教师不低于交流轮岗教师总数的</w:t>
            </w:r>
            <w:r>
              <w:rPr>
                <w:rFonts w:hint="eastAsia" w:ascii="仿宋_GB2312"/>
                <w:sz w:val="22"/>
                <w:szCs w:val="22"/>
              </w:rPr>
              <w:t>20%</w:t>
            </w:r>
            <w:r>
              <w:rPr>
                <w:rFonts w:hint="eastAsia" w:ascii="仿宋_GB2312" w:cs="宋体"/>
                <w:sz w:val="22"/>
                <w:szCs w:val="22"/>
              </w:rPr>
              <w:t>。</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w:t>
            </w:r>
            <w:r>
              <w:rPr>
                <w:rFonts w:hint="eastAsia" w:ascii="仿宋_GB2312"/>
                <w:b/>
                <w:sz w:val="22"/>
                <w:szCs w:val="22"/>
                <w:lang w:val="en-US" w:eastAsia="zh-CN"/>
              </w:rPr>
              <w:t>9*</w:t>
            </w:r>
            <w:r>
              <w:rPr>
                <w:rFonts w:hint="eastAsia" w:ascii="仿宋_GB2312" w:cs="宋体"/>
                <w:sz w:val="22"/>
                <w:szCs w:val="22"/>
              </w:rPr>
              <w:t>专任教师持有教师资格证上岗率达到</w:t>
            </w:r>
            <w:r>
              <w:rPr>
                <w:rFonts w:hint="eastAsia" w:ascii="仿宋_GB2312"/>
                <w:sz w:val="22"/>
                <w:szCs w:val="22"/>
              </w:rPr>
              <w:t>100%</w:t>
            </w:r>
            <w:r>
              <w:rPr>
                <w:rFonts w:hint="eastAsia" w:ascii="仿宋_GB2312" w:cs="宋体"/>
                <w:sz w:val="22"/>
                <w:szCs w:val="22"/>
              </w:rPr>
              <w:t>。</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 xml:space="preserve">B6 </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b/>
                <w:bCs/>
                <w:sz w:val="22"/>
                <w:szCs w:val="22"/>
              </w:rPr>
            </w:pPr>
            <w:r>
              <w:rPr>
                <w:rFonts w:hint="eastAsia" w:ascii="仿宋_GB2312" w:cs="宋体"/>
                <w:b/>
                <w:bCs/>
                <w:sz w:val="22"/>
                <w:szCs w:val="22"/>
              </w:rPr>
              <w:t>公平</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C20</w:t>
            </w:r>
            <w:r>
              <w:rPr>
                <w:rFonts w:hint="eastAsia" w:ascii="仿宋_GB2312" w:cs="宋体"/>
                <w:sz w:val="22"/>
                <w:szCs w:val="22"/>
              </w:rPr>
              <w:t>城区和镇区公办小学、初中（均不含寄宿制学校）就近划片入学比例分别达到</w:t>
            </w:r>
            <w:r>
              <w:rPr>
                <w:rFonts w:hint="eastAsia" w:ascii="仿宋_GB2312"/>
                <w:sz w:val="22"/>
                <w:szCs w:val="22"/>
              </w:rPr>
              <w:t>100%</w:t>
            </w:r>
            <w:r>
              <w:rPr>
                <w:rFonts w:hint="eastAsia" w:ascii="仿宋_GB2312" w:cs="宋体"/>
                <w:sz w:val="22"/>
                <w:szCs w:val="22"/>
              </w:rPr>
              <w:t>、</w:t>
            </w:r>
            <w:r>
              <w:rPr>
                <w:rFonts w:hint="eastAsia" w:ascii="仿宋_GB2312"/>
                <w:sz w:val="22"/>
                <w:szCs w:val="22"/>
              </w:rPr>
              <w:t>95%</w:t>
            </w:r>
            <w:r>
              <w:rPr>
                <w:rFonts w:hint="eastAsia" w:ascii="仿宋_GB2312" w:cs="宋体"/>
                <w:sz w:val="22"/>
                <w:szCs w:val="22"/>
              </w:rPr>
              <w:t>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C21</w:t>
            </w:r>
            <w:r>
              <w:rPr>
                <w:rFonts w:hint="eastAsia" w:ascii="仿宋_GB2312" w:cs="宋体"/>
                <w:sz w:val="22"/>
                <w:szCs w:val="22"/>
              </w:rPr>
              <w:t>全县优质高中招生名额分配比例不低于</w:t>
            </w:r>
            <w:r>
              <w:rPr>
                <w:rFonts w:hint="eastAsia" w:ascii="仿宋_GB2312"/>
                <w:sz w:val="22"/>
                <w:szCs w:val="22"/>
              </w:rPr>
              <w:t>50%</w:t>
            </w:r>
            <w:r>
              <w:rPr>
                <w:rFonts w:hint="eastAsia" w:ascii="仿宋_GB2312" w:cs="宋体"/>
                <w:sz w:val="22"/>
                <w:szCs w:val="22"/>
              </w:rPr>
              <w:t>，并向农村初中倾斜。</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C22</w:t>
            </w:r>
            <w:r>
              <w:rPr>
                <w:rFonts w:hint="eastAsia" w:ascii="仿宋_GB2312" w:cs="宋体"/>
                <w:sz w:val="22"/>
                <w:szCs w:val="22"/>
              </w:rPr>
              <w:t>留守儿童关爱体系健全；全县符合条件的随迁子女在公办学校和政府购买服务的民办学校就读的比例不低于</w:t>
            </w:r>
            <w:r>
              <w:rPr>
                <w:rFonts w:hint="eastAsia" w:ascii="仿宋_GB2312"/>
                <w:sz w:val="22"/>
                <w:szCs w:val="22"/>
              </w:rPr>
              <w:t>85%</w:t>
            </w:r>
            <w:r>
              <w:rPr>
                <w:rFonts w:hint="eastAsia" w:ascii="仿宋_GB2312" w:cs="宋体"/>
                <w:sz w:val="22"/>
                <w:szCs w:val="22"/>
              </w:rPr>
              <w:t>。</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A3</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sz w:val="22"/>
                <w:szCs w:val="22"/>
              </w:rPr>
            </w:pPr>
            <w:r>
              <w:rPr>
                <w:rFonts w:hint="eastAsia" w:ascii="仿宋_GB2312" w:cs="宋体"/>
                <w:b/>
                <w:bCs/>
                <w:sz w:val="22"/>
                <w:szCs w:val="22"/>
              </w:rPr>
              <w:t>质量</w:t>
            </w: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B7</w:t>
            </w:r>
          </w:p>
          <w:p>
            <w:pPr>
              <w:adjustRightInd w:val="0"/>
              <w:snapToGrid w:val="0"/>
              <w:jc w:val="center"/>
              <w:rPr>
                <w:rFonts w:hint="eastAsia" w:ascii="仿宋_GB2312"/>
                <w:b/>
                <w:bCs/>
                <w:sz w:val="22"/>
                <w:szCs w:val="22"/>
              </w:rPr>
            </w:pPr>
            <w:r>
              <w:rPr>
                <w:rFonts w:hint="eastAsia" w:ascii="仿宋_GB2312" w:cs="宋体"/>
                <w:b/>
                <w:bCs/>
                <w:sz w:val="22"/>
                <w:szCs w:val="22"/>
              </w:rPr>
              <w:t>教育普</w:t>
            </w:r>
          </w:p>
          <w:p>
            <w:pPr>
              <w:adjustRightInd w:val="0"/>
              <w:snapToGrid w:val="0"/>
              <w:jc w:val="center"/>
              <w:rPr>
                <w:rFonts w:hint="eastAsia" w:ascii="仿宋_GB2312"/>
                <w:b/>
                <w:bCs/>
                <w:sz w:val="22"/>
                <w:szCs w:val="22"/>
              </w:rPr>
            </w:pPr>
            <w:r>
              <w:rPr>
                <w:rFonts w:hint="eastAsia" w:ascii="仿宋_GB2312" w:cs="宋体"/>
                <w:b/>
                <w:bCs/>
                <w:sz w:val="22"/>
                <w:szCs w:val="22"/>
              </w:rPr>
              <w:t>及程度</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C23</w:t>
            </w:r>
            <w:r>
              <w:rPr>
                <w:rFonts w:hint="eastAsia" w:ascii="仿宋_GB2312" w:cs="宋体"/>
                <w:sz w:val="22"/>
                <w:szCs w:val="22"/>
              </w:rPr>
              <w:t>全县初中三年巩固率达到95%以上。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C24</w:t>
            </w:r>
            <w:r>
              <w:rPr>
                <w:rFonts w:hint="eastAsia" w:ascii="仿宋_GB2312" w:cs="宋体"/>
                <w:sz w:val="22"/>
                <w:szCs w:val="22"/>
              </w:rPr>
              <w:t>全县残疾儿童少年入学率达到95%以上。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B8</w:t>
            </w:r>
          </w:p>
          <w:p>
            <w:pPr>
              <w:adjustRightInd w:val="0"/>
              <w:snapToGrid w:val="0"/>
              <w:jc w:val="center"/>
              <w:rPr>
                <w:rFonts w:hint="eastAsia" w:ascii="仿宋_GB2312"/>
                <w:b/>
                <w:bCs/>
                <w:sz w:val="22"/>
                <w:szCs w:val="22"/>
              </w:rPr>
            </w:pPr>
            <w:r>
              <w:rPr>
                <w:rFonts w:hint="eastAsia" w:ascii="仿宋_GB2312" w:cs="宋体"/>
                <w:b/>
                <w:bCs/>
                <w:sz w:val="22"/>
                <w:szCs w:val="22"/>
              </w:rPr>
              <w:t>学校</w:t>
            </w:r>
          </w:p>
          <w:p>
            <w:pPr>
              <w:adjustRightInd w:val="0"/>
              <w:snapToGrid w:val="0"/>
              <w:jc w:val="center"/>
              <w:rPr>
                <w:rFonts w:hint="eastAsia" w:ascii="仿宋_GB2312"/>
                <w:b/>
                <w:bCs/>
                <w:sz w:val="22"/>
                <w:szCs w:val="22"/>
              </w:rPr>
            </w:pPr>
            <w:r>
              <w:rPr>
                <w:rFonts w:hint="eastAsia" w:ascii="仿宋_GB2312" w:cs="宋体"/>
                <w:b/>
                <w:bCs/>
                <w:sz w:val="22"/>
                <w:szCs w:val="22"/>
              </w:rPr>
              <w:t>管理</w:t>
            </w:r>
          </w:p>
          <w:p>
            <w:pPr>
              <w:adjustRightInd w:val="0"/>
              <w:snapToGrid w:val="0"/>
              <w:jc w:val="center"/>
              <w:rPr>
                <w:rFonts w:hint="eastAsia" w:ascii="仿宋_GB2312"/>
                <w:b/>
                <w:bCs/>
                <w:sz w:val="22"/>
                <w:szCs w:val="22"/>
              </w:rPr>
            </w:pPr>
            <w:r>
              <w:rPr>
                <w:rFonts w:hint="eastAsia" w:ascii="仿宋_GB2312" w:cs="宋体"/>
                <w:b/>
                <w:bCs/>
                <w:sz w:val="22"/>
                <w:szCs w:val="22"/>
              </w:rPr>
              <w:t>水平</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C25</w:t>
            </w:r>
            <w:r>
              <w:rPr>
                <w:rFonts w:hint="eastAsia" w:ascii="仿宋_GB2312" w:cs="宋体"/>
                <w:bCs/>
                <w:sz w:val="22"/>
                <w:szCs w:val="22"/>
              </w:rPr>
              <w:t>所</w:t>
            </w:r>
            <w:r>
              <w:rPr>
                <w:rFonts w:hint="eastAsia" w:ascii="仿宋_GB2312" w:cs="宋体"/>
                <w:sz w:val="22"/>
                <w:szCs w:val="22"/>
              </w:rPr>
              <w:t>有学校制定章程；实现学校管理与教学信息化。</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C26</w:t>
            </w:r>
            <w:r>
              <w:rPr>
                <w:rFonts w:hint="eastAsia" w:ascii="仿宋_GB2312" w:cs="宋体"/>
                <w:b/>
                <w:sz w:val="22"/>
                <w:szCs w:val="22"/>
                <w:lang w:val="en-US" w:eastAsia="zh-CN"/>
              </w:rPr>
              <w:t>*</w:t>
            </w:r>
            <w:r>
              <w:rPr>
                <w:rFonts w:hint="eastAsia" w:ascii="仿宋_GB2312" w:cs="宋体"/>
                <w:sz w:val="22"/>
                <w:szCs w:val="22"/>
              </w:rPr>
              <w:t>全县所有学校按照不低于学校年度公用经费预算总额的5%安排教师培训经费。</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C27</w:t>
            </w:r>
            <w:r>
              <w:rPr>
                <w:rFonts w:hint="eastAsia" w:ascii="仿宋_GB2312" w:cs="宋体"/>
                <w:b/>
                <w:sz w:val="22"/>
                <w:szCs w:val="22"/>
                <w:lang w:val="en-US" w:eastAsia="zh-CN"/>
              </w:rPr>
              <w:t>*</w:t>
            </w:r>
            <w:r>
              <w:rPr>
                <w:rFonts w:hint="eastAsia" w:ascii="仿宋_GB2312" w:cs="宋体"/>
                <w:sz w:val="22"/>
                <w:szCs w:val="22"/>
              </w:rPr>
              <w:t>教师能熟练运用信息化手段组织教学，设施设备利用率达到较高水平。</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C28</w:t>
            </w:r>
            <w:r>
              <w:rPr>
                <w:rFonts w:hint="eastAsia" w:ascii="仿宋_GB2312" w:cs="宋体"/>
                <w:b/>
                <w:sz w:val="22"/>
                <w:szCs w:val="22"/>
                <w:lang w:val="en-US" w:eastAsia="zh-CN"/>
              </w:rPr>
              <w:t>*</w:t>
            </w:r>
            <w:r>
              <w:rPr>
                <w:rFonts w:hint="eastAsia" w:ascii="仿宋_GB2312" w:cs="宋体"/>
                <w:sz w:val="22"/>
                <w:szCs w:val="22"/>
              </w:rPr>
              <w:t>所有学校德育工作、校园文化建设水平达到良好以上。</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C29</w:t>
            </w:r>
            <w:r>
              <w:rPr>
                <w:rFonts w:hint="eastAsia" w:ascii="仿宋_GB2312" w:cs="宋体"/>
                <w:b/>
                <w:sz w:val="22"/>
                <w:szCs w:val="22"/>
                <w:lang w:val="en-US" w:eastAsia="zh-CN"/>
              </w:rPr>
              <w:t>*</w:t>
            </w:r>
            <w:r>
              <w:rPr>
                <w:rFonts w:hint="eastAsia" w:ascii="仿宋_GB2312" w:cs="宋体"/>
                <w:sz w:val="22"/>
                <w:szCs w:val="22"/>
              </w:rPr>
              <w:t>课程开齐开足，教学秩序规范，综合实践活动有效开展。</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C30</w:t>
            </w:r>
            <w:r>
              <w:rPr>
                <w:rFonts w:hint="eastAsia" w:ascii="仿宋_GB2312" w:cs="宋体"/>
                <w:sz w:val="22"/>
                <w:szCs w:val="22"/>
              </w:rPr>
              <w:t>无过重课业负担。</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641"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4" w:type="pc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B9</w:t>
            </w:r>
          </w:p>
          <w:p>
            <w:pPr>
              <w:adjustRightInd w:val="0"/>
              <w:snapToGrid w:val="0"/>
              <w:jc w:val="center"/>
              <w:rPr>
                <w:rFonts w:hint="eastAsia" w:ascii="仿宋_GB2312"/>
                <w:b/>
                <w:bCs/>
                <w:spacing w:val="-12"/>
                <w:sz w:val="22"/>
                <w:szCs w:val="22"/>
              </w:rPr>
            </w:pPr>
            <w:r>
              <w:rPr>
                <w:rFonts w:hint="eastAsia" w:ascii="仿宋_GB2312" w:cs="宋体"/>
                <w:b/>
                <w:bCs/>
                <w:spacing w:val="-12"/>
                <w:sz w:val="22"/>
                <w:szCs w:val="22"/>
              </w:rPr>
              <w:t>学业质量</w:t>
            </w:r>
          </w:p>
          <w:p>
            <w:pPr>
              <w:adjustRightInd w:val="0"/>
              <w:snapToGrid w:val="0"/>
              <w:jc w:val="center"/>
              <w:rPr>
                <w:rFonts w:hint="eastAsia" w:ascii="仿宋_GB2312"/>
                <w:b/>
                <w:bCs/>
                <w:sz w:val="22"/>
                <w:szCs w:val="22"/>
              </w:rPr>
            </w:pPr>
            <w:r>
              <w:rPr>
                <w:rFonts w:hint="eastAsia" w:ascii="仿宋_GB2312" w:cs="宋体"/>
                <w:b/>
                <w:bCs/>
                <w:spacing w:val="-12"/>
                <w:sz w:val="22"/>
                <w:szCs w:val="22"/>
              </w:rPr>
              <w:t>与综合素质</w:t>
            </w:r>
          </w:p>
        </w:tc>
        <w:tc>
          <w:tcPr>
            <w:tcW w:w="2735"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C31</w:t>
            </w:r>
            <w:r>
              <w:rPr>
                <w:rFonts w:hint="eastAsia" w:ascii="仿宋_GB2312" w:cs="宋体"/>
                <w:sz w:val="22"/>
                <w:szCs w:val="22"/>
              </w:rPr>
              <w:t>在国家或省义务教育质量监测中，相关科目学生学业水平达到Ⅲ级以上，且校际差异率低于</w:t>
            </w:r>
            <w:r>
              <w:rPr>
                <w:rFonts w:hint="eastAsia" w:ascii="仿宋_GB2312"/>
                <w:sz w:val="22"/>
                <w:szCs w:val="22"/>
              </w:rPr>
              <w:t>0.15</w:t>
            </w:r>
            <w:r>
              <w:rPr>
                <w:rFonts w:hint="eastAsia" w:ascii="仿宋_GB2312" w:cs="宋体"/>
                <w:sz w:val="22"/>
                <w:szCs w:val="22"/>
              </w:rPr>
              <w:t>。</w:t>
            </w:r>
          </w:p>
        </w:tc>
        <w:tc>
          <w:tcPr>
            <w:tcW w:w="642"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641"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bl>
    <w:p>
      <w:pPr>
        <w:pStyle w:val="2"/>
        <w:snapToGrid w:val="0"/>
        <w:spacing w:after="0"/>
        <w:jc w:val="left"/>
        <w:rPr>
          <w:rFonts w:hint="eastAsia" w:asciiTheme="minorEastAsia" w:hAnsiTheme="minorEastAsia" w:eastAsiaTheme="minorEastAsia" w:cstheme="minorEastAsia"/>
          <w:sz w:val="24"/>
          <w:szCs w:val="24"/>
          <w:lang w:eastAsia="zh-CN"/>
        </w:rPr>
      </w:pPr>
    </w:p>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填报人（签字）：</w:t>
      </w:r>
      <w:r>
        <w:rPr>
          <w:rFonts w:hint="eastAsia" w:asciiTheme="minorEastAsia" w:hAnsiTheme="minorEastAsia" w:eastAsiaTheme="minorEastAsia" w:cstheme="minorEastAsia"/>
          <w:sz w:val="24"/>
          <w:szCs w:val="24"/>
          <w:lang w:val="en-US" w:eastAsia="zh-CN"/>
        </w:rPr>
        <w:t xml:space="preserve">                                    负责人（签字）：</w:t>
      </w:r>
    </w:p>
    <w:p>
      <w:pPr>
        <w:pStyle w:val="2"/>
        <w:snapToGrid w:val="0"/>
        <w:spacing w:after="0"/>
        <w:jc w:val="left"/>
        <w:rPr>
          <w:rFonts w:hint="default" w:asciiTheme="minorEastAsia" w:hAnsiTheme="minorEastAsia" w:eastAsiaTheme="minorEastAsia" w:cstheme="minorEastAsia"/>
          <w:sz w:val="24"/>
          <w:szCs w:val="24"/>
          <w:lang w:val="en-US" w:eastAsia="zh-CN"/>
        </w:rPr>
        <w:sectPr>
          <w:footerReference r:id="rId3" w:type="default"/>
          <w:pgSz w:w="11906" w:h="16838"/>
          <w:pgMar w:top="1644" w:right="1361" w:bottom="2268" w:left="1531" w:header="0" w:footer="1814" w:gutter="0"/>
          <w:pgBorders>
            <w:top w:val="none" w:sz="0" w:space="0"/>
            <w:left w:val="none" w:sz="0" w:space="0"/>
            <w:bottom w:val="none" w:sz="0" w:space="0"/>
            <w:right w:val="none" w:sz="0" w:space="0"/>
          </w:pgBorders>
          <w:pgNumType w:fmt="numberInDash"/>
          <w:cols w:space="720" w:num="1"/>
          <w:docGrid w:type="linesAndChars" w:linePitch="587" w:charSpace="95"/>
        </w:sectPr>
      </w:pPr>
      <w:r>
        <w:rPr>
          <w:rFonts w:hint="default" w:asciiTheme="minorEastAsia" w:hAnsiTheme="minorEastAsia" w:eastAsiaTheme="minorEastAsia" w:cstheme="minorEastAsia"/>
          <w:sz w:val="24"/>
          <w:szCs w:val="24"/>
          <w:lang w:val="en-US" w:eastAsia="zh-CN"/>
        </w:rPr>
        <w:t>注：学校填写“*”部分，校长作为负责人签字，学校盖章；各县（市、区）汇总并完整填写表格，县级政府教育督导室主任作为负责人签字，盖县级政府教育督导室章。</w:t>
      </w:r>
    </w:p>
    <w:p>
      <w:pPr>
        <w:pStyle w:val="2"/>
        <w:snapToGrid w:val="0"/>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河南省县域义务教育优质均衡发展督导评估</w:t>
      </w:r>
    </w:p>
    <w:p>
      <w:pPr>
        <w:pStyle w:val="2"/>
        <w:snapToGrid w:val="0"/>
        <w:spacing w:after="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B类指标</w:t>
      </w:r>
      <w:r>
        <w:rPr>
          <w:rFonts w:hint="eastAsia" w:ascii="方正小标宋简体" w:hAnsi="方正小标宋简体" w:eastAsia="方正小标宋简体" w:cs="方正小标宋简体"/>
          <w:sz w:val="44"/>
          <w:szCs w:val="44"/>
          <w:lang w:eastAsia="zh-CN"/>
        </w:rPr>
        <w:t>评分表</w:t>
      </w:r>
    </w:p>
    <w:p>
      <w:pPr>
        <w:pStyle w:val="2"/>
        <w:snapToGrid w:val="0"/>
        <w:spacing w:after="0"/>
        <w:jc w:val="both"/>
        <w:rPr>
          <w:rFonts w:hint="eastAsia" w:ascii="方正小标宋简体" w:hAnsi="方正小标宋简体" w:eastAsia="方正小标宋简体" w:cs="方正小标宋简体"/>
          <w:sz w:val="44"/>
          <w:szCs w:val="44"/>
        </w:rPr>
      </w:pPr>
      <w:r>
        <w:rPr>
          <w:rFonts w:hint="eastAsia" w:asciiTheme="minorEastAsia" w:hAnsiTheme="minorEastAsia" w:eastAsiaTheme="minorEastAsia" w:cstheme="minorEastAsia"/>
          <w:sz w:val="24"/>
          <w:szCs w:val="24"/>
          <w:lang w:eastAsia="zh-CN"/>
        </w:rPr>
        <w:t>单位（盖章）：</w:t>
      </w:r>
      <w:r>
        <w:rPr>
          <w:rFonts w:hint="eastAsia" w:asciiTheme="minorEastAsia" w:hAnsiTheme="minorEastAsia" w:eastAsiaTheme="minorEastAsia" w:cstheme="minorEastAsia"/>
          <w:sz w:val="24"/>
          <w:szCs w:val="24"/>
          <w:lang w:val="en-US" w:eastAsia="zh-CN"/>
        </w:rPr>
        <w:t xml:space="preserve">                                                年    月   日</w:t>
      </w:r>
    </w:p>
    <w:tbl>
      <w:tblPr>
        <w:tblStyle w:val="6"/>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5692"/>
        <w:gridCol w:w="600"/>
        <w:gridCol w:w="637"/>
        <w:gridCol w:w="1289"/>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11" w:type="dxa"/>
            <w:noWrap w:val="0"/>
            <w:tcMar>
              <w:left w:w="0" w:type="dxa"/>
              <w:right w:w="0" w:type="dxa"/>
            </w:tcMar>
            <w:vAlign w:val="center"/>
          </w:tcPr>
          <w:p>
            <w:pPr>
              <w:spacing w:line="320" w:lineRule="exact"/>
              <w:jc w:val="center"/>
              <w:rPr>
                <w:rFonts w:hint="eastAsia" w:ascii="黑体" w:hAnsi="黑体" w:eastAsia="黑体" w:cs="仿宋_GB2312"/>
                <w:sz w:val="24"/>
                <w:szCs w:val="24"/>
              </w:rPr>
            </w:pPr>
            <w:r>
              <w:rPr>
                <w:rFonts w:hint="eastAsia" w:ascii="黑体" w:hAnsi="黑体" w:eastAsia="黑体" w:cs="仿宋_GB2312"/>
                <w:sz w:val="24"/>
                <w:szCs w:val="24"/>
              </w:rPr>
              <w:t>指标名称</w:t>
            </w:r>
          </w:p>
        </w:tc>
        <w:tc>
          <w:tcPr>
            <w:tcW w:w="5692" w:type="dxa"/>
            <w:noWrap w:val="0"/>
            <w:tcMar>
              <w:left w:w="0" w:type="dxa"/>
              <w:right w:w="0" w:type="dxa"/>
            </w:tcMar>
            <w:vAlign w:val="center"/>
          </w:tcPr>
          <w:p>
            <w:pPr>
              <w:spacing w:line="320" w:lineRule="exact"/>
              <w:jc w:val="center"/>
              <w:rPr>
                <w:rFonts w:hint="eastAsia" w:ascii="黑体" w:hAnsi="黑体" w:eastAsia="黑体" w:cs="仿宋_GB2312"/>
                <w:sz w:val="24"/>
                <w:szCs w:val="24"/>
              </w:rPr>
            </w:pPr>
            <w:r>
              <w:rPr>
                <w:rFonts w:hint="eastAsia" w:ascii="黑体" w:hAnsi="黑体" w:eastAsia="黑体" w:cs="仿宋_GB2312"/>
                <w:sz w:val="24"/>
                <w:szCs w:val="24"/>
              </w:rPr>
              <w:t>评估要点</w:t>
            </w:r>
          </w:p>
        </w:tc>
        <w:tc>
          <w:tcPr>
            <w:tcW w:w="600" w:type="dxa"/>
            <w:noWrap w:val="0"/>
            <w:tcMar>
              <w:left w:w="0" w:type="dxa"/>
              <w:right w:w="0" w:type="dxa"/>
            </w:tcMar>
            <w:vAlign w:val="center"/>
          </w:tcPr>
          <w:p>
            <w:pPr>
              <w:spacing w:line="320" w:lineRule="exact"/>
              <w:jc w:val="center"/>
              <w:rPr>
                <w:rFonts w:hint="eastAsia" w:ascii="黑体" w:hAnsi="黑体" w:eastAsia="黑体" w:cs="仿宋_GB2312"/>
                <w:kern w:val="2"/>
                <w:sz w:val="24"/>
                <w:szCs w:val="24"/>
                <w:lang w:val="en-US" w:eastAsia="zh-CN" w:bidi="ar-SA"/>
              </w:rPr>
            </w:pPr>
            <w:r>
              <w:rPr>
                <w:rFonts w:hint="eastAsia" w:ascii="黑体" w:hAnsi="黑体" w:eastAsia="黑体" w:cs="仿宋_GB2312"/>
                <w:sz w:val="24"/>
                <w:szCs w:val="24"/>
              </w:rPr>
              <w:t>分值</w:t>
            </w:r>
          </w:p>
        </w:tc>
        <w:tc>
          <w:tcPr>
            <w:tcW w:w="637" w:type="dxa"/>
            <w:noWrap w:val="0"/>
            <w:tcMar>
              <w:left w:w="0" w:type="dxa"/>
              <w:right w:w="0" w:type="dxa"/>
            </w:tcMar>
            <w:vAlign w:val="center"/>
          </w:tcPr>
          <w:p>
            <w:pPr>
              <w:spacing w:line="320" w:lineRule="exact"/>
              <w:jc w:val="center"/>
              <w:rPr>
                <w:rFonts w:hint="eastAsia" w:ascii="黑体" w:hAnsi="黑体" w:eastAsia="黑体" w:cs="仿宋_GB2312"/>
                <w:sz w:val="24"/>
                <w:szCs w:val="24"/>
              </w:rPr>
            </w:pPr>
            <w:r>
              <w:rPr>
                <w:rFonts w:hint="eastAsia" w:ascii="黑体" w:hAnsi="黑体" w:eastAsia="黑体" w:cs="仿宋_GB2312"/>
                <w:sz w:val="24"/>
                <w:szCs w:val="24"/>
              </w:rPr>
              <w:t>自评得分</w:t>
            </w:r>
          </w:p>
        </w:tc>
        <w:tc>
          <w:tcPr>
            <w:tcW w:w="1289" w:type="dxa"/>
            <w:noWrap w:val="0"/>
            <w:tcMar>
              <w:left w:w="0" w:type="dxa"/>
              <w:right w:w="0" w:type="dxa"/>
            </w:tcMar>
            <w:vAlign w:val="center"/>
          </w:tcPr>
          <w:p>
            <w:pPr>
              <w:spacing w:line="320" w:lineRule="exact"/>
              <w:jc w:val="center"/>
              <w:rPr>
                <w:rFonts w:hint="eastAsia" w:ascii="黑体" w:hAnsi="黑体" w:eastAsia="黑体" w:cs="仿宋_GB2312"/>
                <w:sz w:val="24"/>
                <w:szCs w:val="24"/>
              </w:rPr>
            </w:pPr>
            <w:r>
              <w:rPr>
                <w:rFonts w:hint="eastAsia" w:ascii="黑体" w:hAnsi="黑体" w:eastAsia="黑体" w:cs="仿宋_GB2312"/>
                <w:sz w:val="24"/>
                <w:szCs w:val="24"/>
              </w:rPr>
              <w:t>自评简要</w:t>
            </w:r>
          </w:p>
          <w:p>
            <w:pPr>
              <w:spacing w:line="320" w:lineRule="exact"/>
              <w:jc w:val="center"/>
              <w:rPr>
                <w:rFonts w:hint="eastAsia" w:ascii="黑体" w:hAnsi="黑体" w:eastAsia="黑体" w:cs="仿宋_GB2312"/>
                <w:sz w:val="24"/>
                <w:szCs w:val="24"/>
                <w:lang w:eastAsia="zh-CN"/>
              </w:rPr>
            </w:pPr>
            <w:r>
              <w:rPr>
                <w:rFonts w:hint="eastAsia" w:ascii="黑体" w:hAnsi="黑体" w:eastAsia="黑体" w:cs="仿宋_GB2312"/>
                <w:sz w:val="24"/>
                <w:szCs w:val="24"/>
                <w:lang w:eastAsia="zh-CN"/>
              </w:rPr>
              <w:t>原因</w:t>
            </w:r>
          </w:p>
        </w:tc>
        <w:tc>
          <w:tcPr>
            <w:tcW w:w="642" w:type="dxa"/>
            <w:noWrap w:val="0"/>
            <w:tcMar>
              <w:left w:w="0" w:type="dxa"/>
              <w:right w:w="0" w:type="dxa"/>
            </w:tcMar>
            <w:vAlign w:val="center"/>
          </w:tcPr>
          <w:p>
            <w:pPr>
              <w:spacing w:line="320" w:lineRule="exact"/>
              <w:jc w:val="center"/>
              <w:rPr>
                <w:rFonts w:hint="eastAsia" w:ascii="黑体" w:hAnsi="黑体" w:eastAsia="黑体" w:cs="仿宋_GB2312"/>
                <w:sz w:val="24"/>
                <w:szCs w:val="24"/>
              </w:rPr>
            </w:pPr>
            <w:r>
              <w:rPr>
                <w:rFonts w:hint="eastAsia" w:ascii="黑体" w:hAnsi="黑体" w:eastAsia="黑体" w:cs="仿宋_GB2312"/>
                <w:sz w:val="24"/>
                <w:szCs w:val="24"/>
              </w:rPr>
              <w:t>单项总分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一、县域内义务教育学校规划布局合理，符合国家和省的规定要求</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1.将义务教育摆在优先发展的突出位置，根据学龄人口变化合理规划城乡学校布局，保障义务教育学位供给。</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2.城市区根据居民区规模、公共交通状况、流动人口子女入学因素等合理设置完全小学、初级中学,原则上完全小学不低于24班规模,初级中学不低于30班规模。</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3.乡镇政府所在地的初级中学原则上不低于24班规模,其他地方不低于18班规模,每个乡镇至少有1所初级中学。</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4.科学制定寄宿制学校规划，逐步实现农村寄宿制小学向乡镇集中、寄宿制中学向县城集中。</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5.地处偏远、人口稀少、交通不便的地方应保留或设置必要的非完全小学。农村小学1至3年级学生原则上不寄宿。</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二、县级教育行政部门在核定的教职工编制总额和岗位总量内，统筹分配各校教职工编制和岗位数量</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1.完成中小学教师“县管校聘”管理改革，足额核定教职工编制，实行动态管理。</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2.县级教育部门统筹合理调配各校编制，并向乡村小规模学校和乡镇寄宿制学校倾斜。</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3.按照国家规定课程配足配齐所有学科教师，充分发挥教育部门和学校在教师招聘中的重要作用。</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4.不存在教师在编不在岗和各种形式“吃空饷”、长期空编和有编不补、中小学校自行聘用编外教师现象。</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5.完善城乡教师交流轮岗制度，推动城镇优秀教师向乡村学校、薄弱学校流动。</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6.县级教育部门按照学校规模、班额、师资结构等实际情况，将中小学教师岗位具体分配到各学校，重点向农村、偏远地区学校和薄弱学校倾斜。</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三、</w:t>
            </w:r>
            <w:r>
              <w:rPr>
                <w:rFonts w:hint="eastAsia" w:ascii="仿宋_GB2312" w:hAnsi="仿宋_GB2312" w:cs="仿宋_GB2312"/>
                <w:spacing w:val="-14"/>
                <w:sz w:val="24"/>
                <w:szCs w:val="24"/>
              </w:rPr>
              <w:t>所有学校制定章程，实现学校管理与教学信息化</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1.落实学校党的组织和党的工作全覆盖；把思想政治工作贯穿学校教育教学全过程。</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2.所有学校制定章程，对照《义务教育学校管理标准》，完善各项管理制度。</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3.按照“四有”好老师标准，健全师德师风建设长效机制，积极选树先进典型，严肃查处师德失范行为。</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三</w:t>
            </w:r>
            <w:r>
              <w:rPr>
                <w:rFonts w:hint="eastAsia" w:ascii="仿宋_GB2312" w:hAnsi="仿宋_GB2312" w:cs="仿宋_GB2312"/>
                <w:spacing w:val="-14"/>
                <w:sz w:val="24"/>
                <w:szCs w:val="24"/>
              </w:rPr>
              <w:t>、所有学校制定章程，实现学校管理与教学信息化</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*4</w:t>
            </w:r>
            <w:r>
              <w:rPr>
                <w:rFonts w:hint="eastAsia" w:ascii="仿宋_GB2312" w:hAnsi="仿宋_GB2312" w:cs="仿宋_GB2312"/>
                <w:sz w:val="24"/>
                <w:szCs w:val="24"/>
              </w:rPr>
              <w:t>.学校安全风险管理体系健全，岗位安全责任落实。</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*5</w:t>
            </w:r>
            <w:r>
              <w:rPr>
                <w:rFonts w:hint="eastAsia" w:ascii="仿宋_GB2312" w:hAnsi="仿宋_GB2312" w:cs="仿宋_GB2312"/>
                <w:sz w:val="24"/>
                <w:szCs w:val="24"/>
              </w:rPr>
              <w:t>.学校宽带接入比例达到100%。</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*6</w:t>
            </w:r>
            <w:r>
              <w:rPr>
                <w:rFonts w:hint="eastAsia" w:ascii="仿宋_GB2312" w:hAnsi="仿宋_GB2312" w:cs="仿宋_GB2312"/>
                <w:sz w:val="24"/>
                <w:szCs w:val="24"/>
              </w:rPr>
              <w:t>.常用教室多媒体教学设备配置率达到100%。</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*7</w:t>
            </w:r>
            <w:r>
              <w:rPr>
                <w:rFonts w:hint="eastAsia" w:ascii="仿宋_GB2312" w:hAnsi="仿宋_GB2312" w:cs="仿宋_GB2312"/>
                <w:sz w:val="24"/>
                <w:szCs w:val="24"/>
              </w:rPr>
              <w:t>.学校校园网基本建成。</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四、教师能熟练运用信息化手段组织教学，设施设备利用率达到较高水平</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1.所有专任教师均了解国家及我省中小学智慧教育平台、与教学相关的通用软件的功能及特点，并能熟练应用。</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2.专任教师均能通过多种途径获得数字教育资源，掌握加工、制作和管理数字教育资源的工具与方法。教师具有现场制作课件的能力，课件显现直观、实用。</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35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3.100%实现教师利用网络开展研修活动，不断推动教学改革。</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4.学校信息化设施设备利用率达到较高水平。信息化设备安装、运转正常。</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五、所有学校德育工作、校园文化建设水平达到良好以上</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1.教育部门和学校落实立德树人根本任务，把德育工作摆在首位，领导机制健全。</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2.深入开展理想信念、社会主义核心价值观、中华优秀传统文化、生态文明等教育，引导学生准确理解和把握社会主义核心价值观的深刻内涵和实践要求。</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3.学生综合素质评价落实扎实，学生品德培养和习惯养成成效明显。</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4.注重加强校园文化建设，能够结合学校历史发展沿革等科学规划校园文化建设，形成校园文化特色。</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5.能够用校训、校歌等多种形式凝聚学校发展力量，激励学生健康成长。</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6.注重学校环境绿化、美化、整洁，充分体现教育的引导和熏陶。</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六、课程开足开齐，教学秩序规范，综合实践活动有效开展</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1.按国家课程计划开齐开足课程，课时总量符合课程计划要求。</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2.不随意停开国家课程或减少教学课时，教学秩序规范。</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3.学校能够按照《中小学综合实践活动课程指导纲要》要求，组织学生开展综合实践活动，小学1-2年级平均每周不少于1课时，小学3-6年级和初中平均每周不少于2课时。</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4.开设有劳动课，且平均每周不少于1课时。</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六、课程开足开齐，教学秩序规范，综合实践活动有效开展</w:t>
            </w: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5.配备有专兼职相结合的劳动教育教师，学校有满足劳动教育需要的实践基地和场所。</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6.每学期在地方课程中安排9个课时开展健康教育，教学内容应符合《中小学健康教育指导纲要》要求。</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7.开展多样化劳动教育实践活动，小学中高年级每年学会1-2项生活技能。</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七、无过重课业负担</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1.减轻学生过重作业负担和校外培训负担的机制健全，校外培训机构培训行为全面规范，注重利用智慧教育体系实现提质减负。</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restart"/>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2.小学1-2年级不留书面家庭作业，其他年级书面家庭作业平均完成时间不超过60分钟。</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3.初中各年级书面家庭作业平均完成时间不超过90分钟。</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4.“一课一辅”，无违规推荐、选用教辅现象。</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5.确保学生每天在校锻炼不少于60分钟。</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20</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w:t>
            </w:r>
            <w:r>
              <w:rPr>
                <w:rFonts w:hint="eastAsia" w:ascii="仿宋_GB2312" w:hAnsi="仿宋_GB2312" w:cs="仿宋_GB2312"/>
                <w:sz w:val="24"/>
                <w:szCs w:val="24"/>
              </w:rPr>
              <w:t>6.严格教学进度和考试次数管理。</w:t>
            </w:r>
          </w:p>
        </w:tc>
        <w:tc>
          <w:tcPr>
            <w:tcW w:w="600"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cs="仿宋_GB2312"/>
                <w:sz w:val="24"/>
                <w:szCs w:val="24"/>
              </w:rPr>
              <w:t>15</w:t>
            </w:r>
          </w:p>
        </w:tc>
        <w:tc>
          <w:tcPr>
            <w:tcW w:w="637"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1289"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642" w:type="dxa"/>
            <w:vMerge w:val="continue"/>
            <w:noWrap w:val="0"/>
            <w:tcMar>
              <w:left w:w="0" w:type="dxa"/>
              <w:right w:w="0" w:type="dxa"/>
            </w:tcMar>
            <w:vAlign w:val="top"/>
          </w:tcPr>
          <w:p>
            <w:pPr>
              <w:spacing w:line="320" w:lineRule="exact"/>
              <w:rPr>
                <w:rFonts w:hint="eastAsia" w:ascii="仿宋_GB2312" w:hAnsi="仿宋_GB2312" w:cs="仿宋_GB2312"/>
                <w:sz w:val="24"/>
                <w:szCs w:val="24"/>
              </w:rPr>
            </w:pPr>
          </w:p>
        </w:tc>
      </w:tr>
    </w:tbl>
    <w:p>
      <w:pPr>
        <w:pStyle w:val="2"/>
        <w:snapToGrid w:val="0"/>
        <w:spacing w:after="0"/>
        <w:jc w:val="left"/>
        <w:rPr>
          <w:rFonts w:hint="eastAsia" w:asciiTheme="minorEastAsia" w:hAnsiTheme="minorEastAsia" w:eastAsiaTheme="minorEastAsia" w:cstheme="minorEastAsia"/>
          <w:sz w:val="24"/>
          <w:szCs w:val="24"/>
          <w:lang w:eastAsia="zh-CN"/>
        </w:rPr>
      </w:pPr>
    </w:p>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填报人（签字）：</w:t>
      </w:r>
      <w:r>
        <w:rPr>
          <w:rFonts w:hint="eastAsia" w:asciiTheme="minorEastAsia" w:hAnsiTheme="minorEastAsia" w:eastAsiaTheme="minorEastAsia" w:cstheme="minorEastAsia"/>
          <w:sz w:val="24"/>
          <w:szCs w:val="24"/>
          <w:lang w:val="en-US" w:eastAsia="zh-CN"/>
        </w:rPr>
        <w:t xml:space="preserve">                                        负责人（签字）：</w:t>
      </w:r>
    </w:p>
    <w:p>
      <w:pPr>
        <w:pStyle w:val="2"/>
        <w:snapToGrid w:val="0"/>
        <w:spacing w:after="0"/>
        <w:jc w:val="left"/>
        <w:rPr>
          <w:rFonts w:hint="default" w:asciiTheme="minorEastAsia" w:hAnsiTheme="minorEastAsia" w:eastAsiaTheme="minorEastAsia" w:cstheme="minorEastAsia"/>
          <w:sz w:val="24"/>
          <w:szCs w:val="24"/>
          <w:lang w:val="en-US" w:eastAsia="zh-CN"/>
        </w:rPr>
        <w:sectPr>
          <w:pgSz w:w="11906" w:h="16838"/>
          <w:pgMar w:top="1644" w:right="1361" w:bottom="2268" w:left="1531" w:header="0" w:footer="1814" w:gutter="0"/>
          <w:pgBorders>
            <w:top w:val="none" w:sz="0" w:space="0"/>
            <w:left w:val="none" w:sz="0" w:space="0"/>
            <w:bottom w:val="none" w:sz="0" w:space="0"/>
            <w:right w:val="none" w:sz="0" w:space="0"/>
          </w:pgBorders>
          <w:pgNumType w:fmt="numberInDash"/>
          <w:cols w:space="720" w:num="1"/>
          <w:docGrid w:type="linesAndChars" w:linePitch="587" w:charSpace="95"/>
        </w:sectPr>
      </w:pPr>
      <w:r>
        <w:rPr>
          <w:rFonts w:hint="default" w:asciiTheme="minorEastAsia" w:hAnsiTheme="minorEastAsia" w:eastAsiaTheme="minorEastAsia" w:cstheme="minorEastAsia"/>
          <w:sz w:val="24"/>
          <w:szCs w:val="24"/>
          <w:lang w:val="en-US" w:eastAsia="zh-CN"/>
        </w:rPr>
        <w:t>注：学校填写“*”部分，校长作为负责人签字，学校盖章；各县（市、区）汇总并完整填写表格，县级政府教育督导室主任作为负责人签字，盖县级政府教育督导室章。</w:t>
      </w:r>
    </w:p>
    <w:p>
      <w:pPr>
        <w:pStyle w:val="2"/>
        <w:snapToGrid w:val="0"/>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河南省县域义务教育优质均衡发展督导</w:t>
      </w:r>
    </w:p>
    <w:p>
      <w:pPr>
        <w:pStyle w:val="2"/>
        <w:snapToGrid w:val="0"/>
        <w:spacing w:after="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评估指标</w:t>
      </w:r>
      <w:r>
        <w:rPr>
          <w:rFonts w:hint="eastAsia" w:ascii="方正小标宋简体" w:hAnsi="方正小标宋简体" w:eastAsia="方正小标宋简体" w:cs="方正小标宋简体"/>
          <w:sz w:val="44"/>
          <w:szCs w:val="44"/>
          <w:lang w:eastAsia="zh-CN"/>
        </w:rPr>
        <w:t>推进方案</w:t>
      </w:r>
    </w:p>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单位（盖章）：</w:t>
      </w:r>
      <w:r>
        <w:rPr>
          <w:rFonts w:hint="eastAsia" w:asciiTheme="minorEastAsia" w:hAnsiTheme="minorEastAsia" w:eastAsiaTheme="minorEastAsia" w:cstheme="minorEastAsia"/>
          <w:sz w:val="24"/>
          <w:szCs w:val="24"/>
          <w:lang w:val="en-US" w:eastAsia="zh-CN"/>
        </w:rPr>
        <w:t xml:space="preserve">                                                年    月   日</w:t>
      </w:r>
    </w:p>
    <w:tbl>
      <w:tblPr>
        <w:tblStyle w:val="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979"/>
        <w:gridCol w:w="4707"/>
        <w:gridCol w:w="1054"/>
        <w:gridCol w:w="792"/>
        <w:gridCol w:w="792"/>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84"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A</w:t>
            </w:r>
            <w:r>
              <w:rPr>
                <w:rFonts w:hint="eastAsia" w:ascii="黑体" w:hAnsi="黑体" w:eastAsia="黑体" w:cs="宋体"/>
                <w:bCs/>
                <w:sz w:val="22"/>
                <w:szCs w:val="22"/>
              </w:rPr>
              <w:t>级指标</w:t>
            </w:r>
          </w:p>
        </w:tc>
        <w:tc>
          <w:tcPr>
            <w:tcW w:w="493"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B</w:t>
            </w:r>
            <w:r>
              <w:rPr>
                <w:rFonts w:hint="eastAsia" w:ascii="黑体" w:hAnsi="黑体" w:eastAsia="黑体" w:cs="宋体"/>
                <w:bCs/>
                <w:sz w:val="22"/>
                <w:szCs w:val="22"/>
              </w:rPr>
              <w:t>级指标</w:t>
            </w:r>
          </w:p>
        </w:tc>
        <w:tc>
          <w:tcPr>
            <w:tcW w:w="2371" w:type="pct"/>
            <w:noWrap w:val="0"/>
            <w:tcMar>
              <w:left w:w="0" w:type="dxa"/>
              <w:right w:w="0" w:type="dxa"/>
            </w:tcMar>
            <w:vAlign w:val="center"/>
          </w:tcPr>
          <w:p>
            <w:pPr>
              <w:adjustRightInd w:val="0"/>
              <w:snapToGrid w:val="0"/>
              <w:jc w:val="center"/>
              <w:rPr>
                <w:rFonts w:hint="eastAsia" w:ascii="黑体" w:hAnsi="黑体" w:eastAsia="黑体"/>
                <w:bCs/>
                <w:sz w:val="22"/>
                <w:szCs w:val="22"/>
              </w:rPr>
            </w:pPr>
            <w:r>
              <w:rPr>
                <w:rFonts w:hint="eastAsia" w:ascii="黑体" w:hAnsi="黑体" w:eastAsia="黑体"/>
                <w:bCs/>
                <w:sz w:val="22"/>
                <w:szCs w:val="22"/>
              </w:rPr>
              <w:t>C</w:t>
            </w:r>
            <w:r>
              <w:rPr>
                <w:rFonts w:hint="eastAsia" w:ascii="黑体" w:hAnsi="黑体" w:eastAsia="黑体" w:cs="宋体"/>
                <w:bCs/>
                <w:sz w:val="22"/>
                <w:szCs w:val="22"/>
              </w:rPr>
              <w:t>级指标及评估要点</w:t>
            </w:r>
          </w:p>
        </w:tc>
        <w:tc>
          <w:tcPr>
            <w:tcW w:w="531" w:type="pct"/>
            <w:noWrap w:val="0"/>
            <w:tcMar>
              <w:left w:w="0" w:type="dxa"/>
              <w:right w:w="0" w:type="dxa"/>
            </w:tcMar>
            <w:vAlign w:val="center"/>
          </w:tcPr>
          <w:p>
            <w:pPr>
              <w:adjustRightInd w:val="0"/>
              <w:snapToGrid w:val="0"/>
              <w:jc w:val="center"/>
              <w:rPr>
                <w:rFonts w:hint="eastAsia" w:ascii="黑体" w:hAnsi="黑体" w:eastAsia="黑体"/>
                <w:bCs/>
                <w:sz w:val="22"/>
                <w:szCs w:val="22"/>
                <w:lang w:val="en"/>
              </w:rPr>
            </w:pPr>
            <w:r>
              <w:rPr>
                <w:rFonts w:hint="eastAsia" w:ascii="黑体" w:hAnsi="黑体" w:eastAsia="黑体"/>
                <w:bCs/>
                <w:sz w:val="22"/>
                <w:szCs w:val="22"/>
                <w:lang w:val="en"/>
              </w:rPr>
              <w:t>指标类型</w:t>
            </w:r>
          </w:p>
        </w:tc>
        <w:tc>
          <w:tcPr>
            <w:tcW w:w="399" w:type="pct"/>
            <w:noWrap w:val="0"/>
            <w:tcMar>
              <w:left w:w="0" w:type="dxa"/>
              <w:right w:w="0" w:type="dxa"/>
            </w:tcMar>
            <w:vAlign w:val="center"/>
          </w:tcPr>
          <w:p>
            <w:pPr>
              <w:adjustRightInd w:val="0"/>
              <w:snapToGrid w:val="0"/>
              <w:jc w:val="center"/>
              <w:rPr>
                <w:rFonts w:hint="default" w:ascii="黑体" w:hAnsi="黑体" w:eastAsia="黑体" w:cs="Times New Roman"/>
                <w:bCs/>
                <w:kern w:val="2"/>
                <w:sz w:val="22"/>
                <w:szCs w:val="22"/>
                <w:lang w:val="en-US" w:eastAsia="zh-CN" w:bidi="ar-SA"/>
              </w:rPr>
            </w:pPr>
            <w:r>
              <w:rPr>
                <w:rFonts w:hint="eastAsia" w:ascii="黑体" w:hAnsi="黑体" w:eastAsia="黑体" w:cs="Times New Roman"/>
                <w:bCs/>
                <w:kern w:val="2"/>
                <w:sz w:val="22"/>
                <w:szCs w:val="22"/>
                <w:lang w:val="en-US" w:eastAsia="zh-CN" w:bidi="ar-SA"/>
              </w:rPr>
              <w:t>2024</w:t>
            </w:r>
          </w:p>
        </w:tc>
        <w:tc>
          <w:tcPr>
            <w:tcW w:w="399" w:type="pct"/>
            <w:noWrap w:val="0"/>
            <w:tcMar>
              <w:left w:w="0" w:type="dxa"/>
              <w:right w:w="0" w:type="dxa"/>
            </w:tcMar>
            <w:vAlign w:val="center"/>
          </w:tcPr>
          <w:p>
            <w:pPr>
              <w:adjustRightInd w:val="0"/>
              <w:snapToGrid w:val="0"/>
              <w:jc w:val="center"/>
              <w:rPr>
                <w:rFonts w:hint="default" w:ascii="黑体" w:hAnsi="黑体" w:eastAsia="黑体" w:cs="Times New Roman"/>
                <w:bCs/>
                <w:kern w:val="2"/>
                <w:sz w:val="22"/>
                <w:szCs w:val="22"/>
                <w:lang w:val="en-US" w:eastAsia="zh-CN" w:bidi="ar-SA"/>
              </w:rPr>
            </w:pPr>
            <w:r>
              <w:rPr>
                <w:rFonts w:hint="eastAsia" w:ascii="黑体" w:hAnsi="黑体" w:eastAsia="黑体" w:cs="Times New Roman"/>
                <w:bCs/>
                <w:kern w:val="2"/>
                <w:sz w:val="22"/>
                <w:szCs w:val="22"/>
                <w:lang w:val="en-US" w:eastAsia="zh-CN" w:bidi="ar-SA"/>
              </w:rPr>
              <w:t>2025</w:t>
            </w:r>
          </w:p>
        </w:tc>
        <w:tc>
          <w:tcPr>
            <w:tcW w:w="319" w:type="pct"/>
            <w:noWrap w:val="0"/>
            <w:tcMar>
              <w:left w:w="0" w:type="dxa"/>
              <w:right w:w="0" w:type="dxa"/>
            </w:tcMar>
            <w:vAlign w:val="center"/>
          </w:tcPr>
          <w:p>
            <w:pPr>
              <w:adjustRightInd w:val="0"/>
              <w:snapToGrid w:val="0"/>
              <w:jc w:val="center"/>
              <w:rPr>
                <w:rFonts w:hint="eastAsia" w:ascii="黑体" w:hAnsi="黑体" w:eastAsia="黑体" w:cs="Times New Roman"/>
                <w:bCs/>
                <w:kern w:val="2"/>
                <w:sz w:val="22"/>
                <w:szCs w:val="22"/>
                <w:lang w:val="en" w:eastAsia="zh-CN" w:bidi="ar-SA"/>
              </w:rPr>
            </w:pPr>
            <w:r>
              <w:rPr>
                <w:rFonts w:hint="eastAsia" w:ascii="黑体" w:hAnsi="黑体" w:eastAsia="黑体" w:cs="Times New Roman"/>
                <w:bCs/>
                <w:kern w:val="2"/>
                <w:sz w:val="22"/>
                <w:szCs w:val="22"/>
                <w:lang w:val="e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A1</w:t>
            </w:r>
          </w:p>
          <w:p>
            <w:pPr>
              <w:adjustRightInd w:val="0"/>
              <w:snapToGrid w:val="0"/>
              <w:jc w:val="center"/>
              <w:rPr>
                <w:rFonts w:hint="eastAsia" w:ascii="仿宋_GB2312"/>
                <w:b/>
                <w:bCs/>
                <w:sz w:val="22"/>
                <w:szCs w:val="22"/>
              </w:rPr>
            </w:pPr>
            <w:r>
              <w:rPr>
                <w:rFonts w:hint="eastAsia" w:ascii="仿宋_GB2312" w:cs="宋体"/>
                <w:b/>
                <w:bCs/>
                <w:sz w:val="22"/>
                <w:szCs w:val="22"/>
              </w:rPr>
              <w:t>资源</w:t>
            </w:r>
          </w:p>
          <w:p>
            <w:pPr>
              <w:adjustRightInd w:val="0"/>
              <w:snapToGrid w:val="0"/>
              <w:jc w:val="center"/>
              <w:rPr>
                <w:rFonts w:hint="eastAsia" w:ascii="仿宋_GB2312"/>
                <w:b/>
                <w:bCs/>
                <w:sz w:val="22"/>
                <w:szCs w:val="22"/>
              </w:rPr>
            </w:pPr>
            <w:r>
              <w:rPr>
                <w:rFonts w:hint="eastAsia" w:ascii="仿宋_GB2312" w:cs="宋体"/>
                <w:b/>
                <w:bCs/>
                <w:sz w:val="22"/>
                <w:szCs w:val="22"/>
              </w:rPr>
              <w:t>配置</w:t>
            </w: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B1</w:t>
            </w:r>
          </w:p>
          <w:p>
            <w:pPr>
              <w:adjustRightInd w:val="0"/>
              <w:snapToGrid w:val="0"/>
              <w:jc w:val="center"/>
              <w:rPr>
                <w:rFonts w:hint="eastAsia" w:ascii="仿宋_GB2312"/>
                <w:b/>
                <w:bCs/>
                <w:sz w:val="22"/>
                <w:szCs w:val="22"/>
              </w:rPr>
            </w:pPr>
            <w:r>
              <w:rPr>
                <w:rFonts w:hint="eastAsia" w:ascii="仿宋_GB2312" w:cs="宋体"/>
                <w:b/>
                <w:bCs/>
                <w:sz w:val="22"/>
                <w:szCs w:val="22"/>
              </w:rPr>
              <w:t>教师</w:t>
            </w:r>
          </w:p>
          <w:p>
            <w:pPr>
              <w:adjustRightInd w:val="0"/>
              <w:snapToGrid w:val="0"/>
              <w:jc w:val="center"/>
              <w:rPr>
                <w:rFonts w:hint="eastAsia" w:ascii="仿宋_GB2312"/>
                <w:b/>
                <w:bCs/>
                <w:sz w:val="22"/>
                <w:szCs w:val="22"/>
              </w:rPr>
            </w:pPr>
            <w:r>
              <w:rPr>
                <w:rFonts w:hint="eastAsia" w:ascii="仿宋_GB2312" w:cs="宋体"/>
                <w:b/>
                <w:bCs/>
                <w:sz w:val="22"/>
                <w:szCs w:val="22"/>
              </w:rPr>
              <w:t>队伍</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w:t>
            </w:r>
            <w:r>
              <w:rPr>
                <w:rFonts w:hint="eastAsia" w:ascii="仿宋_GB2312"/>
                <w:b/>
                <w:sz w:val="22"/>
                <w:szCs w:val="22"/>
                <w:lang w:val="en-US" w:eastAsia="zh-CN"/>
              </w:rPr>
              <w:t>1</w:t>
            </w:r>
            <w:r>
              <w:rPr>
                <w:rFonts w:hint="eastAsia" w:ascii="仿宋_GB2312" w:cs="宋体"/>
                <w:sz w:val="22"/>
                <w:szCs w:val="22"/>
              </w:rPr>
              <w:t>每百名学生拥有高于规定学历教师数：小学、初中分别达到</w:t>
            </w:r>
            <w:r>
              <w:rPr>
                <w:rFonts w:hint="eastAsia" w:ascii="仿宋_GB2312"/>
                <w:sz w:val="22"/>
                <w:szCs w:val="22"/>
              </w:rPr>
              <w:t>4.2</w:t>
            </w:r>
            <w:r>
              <w:rPr>
                <w:rFonts w:hint="eastAsia" w:ascii="仿宋_GB2312" w:cs="宋体"/>
                <w:sz w:val="22"/>
                <w:szCs w:val="22"/>
              </w:rPr>
              <w:t>人以上、</w:t>
            </w:r>
            <w:r>
              <w:rPr>
                <w:rFonts w:hint="eastAsia" w:ascii="仿宋_GB2312"/>
                <w:sz w:val="22"/>
                <w:szCs w:val="22"/>
              </w:rPr>
              <w:t>5.3</w:t>
            </w:r>
            <w:r>
              <w:rPr>
                <w:rFonts w:hint="eastAsia" w:ascii="仿宋_GB2312" w:cs="宋体"/>
                <w:sz w:val="22"/>
                <w:szCs w:val="22"/>
              </w:rPr>
              <w:t>人以上。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w:t>
            </w:r>
            <w:r>
              <w:rPr>
                <w:rFonts w:hint="eastAsia" w:ascii="仿宋_GB2312" w:cs="宋体"/>
                <w:sz w:val="22"/>
                <w:szCs w:val="22"/>
              </w:rPr>
              <w:t>每</w:t>
            </w:r>
            <w:r>
              <w:rPr>
                <w:rFonts w:hint="eastAsia" w:ascii="仿宋_GB2312" w:cs="宋体"/>
                <w:spacing w:val="-10"/>
                <w:sz w:val="22"/>
                <w:szCs w:val="22"/>
              </w:rPr>
              <w:t>百名学生拥有县级以上骨干教师数：小学、初中均达到</w:t>
            </w:r>
            <w:r>
              <w:rPr>
                <w:rFonts w:hint="eastAsia" w:ascii="仿宋_GB2312"/>
                <w:spacing w:val="-10"/>
                <w:sz w:val="22"/>
                <w:szCs w:val="22"/>
              </w:rPr>
              <w:t>1</w:t>
            </w:r>
            <w:r>
              <w:rPr>
                <w:rFonts w:hint="eastAsia" w:ascii="仿宋_GB2312" w:cs="宋体"/>
                <w:spacing w:val="-10"/>
                <w:sz w:val="22"/>
                <w:szCs w:val="22"/>
              </w:rPr>
              <w:t>人以上。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C3</w:t>
            </w:r>
            <w:r>
              <w:rPr>
                <w:rFonts w:hint="eastAsia" w:ascii="仿宋_GB2312" w:cs="宋体"/>
                <w:sz w:val="22"/>
                <w:szCs w:val="22"/>
              </w:rPr>
              <w:t>每百名学生拥有体育、艺术（美术、音乐）专任教师数：小学、初中均达到</w:t>
            </w:r>
            <w:r>
              <w:rPr>
                <w:rFonts w:hint="eastAsia" w:ascii="仿宋_GB2312"/>
                <w:sz w:val="22"/>
                <w:szCs w:val="22"/>
              </w:rPr>
              <w:t>0.9</w:t>
            </w:r>
            <w:r>
              <w:rPr>
                <w:rFonts w:hint="eastAsia" w:ascii="仿宋_GB2312" w:cs="宋体"/>
                <w:sz w:val="22"/>
                <w:szCs w:val="22"/>
              </w:rPr>
              <w:t>人以上。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B2</w:t>
            </w:r>
          </w:p>
          <w:p>
            <w:pPr>
              <w:adjustRightInd w:val="0"/>
              <w:snapToGrid w:val="0"/>
              <w:jc w:val="center"/>
              <w:rPr>
                <w:rFonts w:hint="eastAsia" w:ascii="仿宋_GB2312"/>
                <w:b/>
                <w:bCs/>
                <w:sz w:val="22"/>
                <w:szCs w:val="22"/>
              </w:rPr>
            </w:pPr>
            <w:r>
              <w:rPr>
                <w:rFonts w:hint="eastAsia" w:ascii="仿宋_GB2312" w:cs="宋体"/>
                <w:b/>
                <w:bCs/>
                <w:sz w:val="22"/>
                <w:szCs w:val="22"/>
              </w:rPr>
              <w:t>办学</w:t>
            </w:r>
          </w:p>
          <w:p>
            <w:pPr>
              <w:adjustRightInd w:val="0"/>
              <w:snapToGrid w:val="0"/>
              <w:jc w:val="center"/>
              <w:rPr>
                <w:rFonts w:hint="eastAsia" w:ascii="仿宋_GB2312"/>
                <w:b/>
                <w:bCs/>
                <w:sz w:val="22"/>
                <w:szCs w:val="22"/>
              </w:rPr>
            </w:pPr>
            <w:r>
              <w:rPr>
                <w:rFonts w:hint="eastAsia" w:ascii="仿宋_GB2312" w:cs="宋体"/>
                <w:b/>
                <w:bCs/>
                <w:sz w:val="22"/>
                <w:szCs w:val="22"/>
              </w:rPr>
              <w:t>条件</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w:t>
            </w:r>
            <w:r>
              <w:rPr>
                <w:rFonts w:hint="eastAsia" w:ascii="仿宋_GB2312"/>
                <w:b/>
                <w:sz w:val="22"/>
                <w:szCs w:val="22"/>
                <w:lang w:val="en-US" w:eastAsia="zh-CN"/>
              </w:rPr>
              <w:t>4</w:t>
            </w:r>
            <w:r>
              <w:rPr>
                <w:rFonts w:hint="eastAsia" w:ascii="仿宋_GB2312" w:cs="宋体"/>
                <w:sz w:val="22"/>
                <w:szCs w:val="22"/>
              </w:rPr>
              <w:t>生均教学及辅助用房面积：小学、初中分别达到</w:t>
            </w:r>
            <w:r>
              <w:rPr>
                <w:rFonts w:hint="eastAsia" w:ascii="仿宋_GB2312"/>
                <w:sz w:val="22"/>
                <w:szCs w:val="22"/>
              </w:rPr>
              <w:t>4.5</w:t>
            </w:r>
            <w:r>
              <w:rPr>
                <w:rFonts w:hint="eastAsia" w:ascii="仿宋_GB2312" w:cs="宋体"/>
                <w:sz w:val="22"/>
                <w:szCs w:val="22"/>
              </w:rPr>
              <w:t>平方米以上、</w:t>
            </w:r>
            <w:r>
              <w:rPr>
                <w:rFonts w:hint="eastAsia" w:ascii="仿宋_GB2312"/>
                <w:sz w:val="22"/>
                <w:szCs w:val="22"/>
              </w:rPr>
              <w:t>5.8</w:t>
            </w:r>
            <w:r>
              <w:rPr>
                <w:rFonts w:hint="eastAsia" w:ascii="仿宋_GB2312" w:cs="宋体"/>
                <w:sz w:val="22"/>
                <w:szCs w:val="22"/>
              </w:rPr>
              <w:t>平方米以上。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C5</w:t>
            </w:r>
            <w:r>
              <w:rPr>
                <w:rFonts w:hint="eastAsia" w:ascii="仿宋_GB2312" w:cs="宋体"/>
                <w:sz w:val="22"/>
                <w:szCs w:val="22"/>
              </w:rPr>
              <w:t>生均体育运动场馆面积</w:t>
            </w:r>
            <w:r>
              <w:rPr>
                <w:rFonts w:hint="eastAsia" w:ascii="仿宋_GB2312"/>
                <w:sz w:val="22"/>
                <w:szCs w:val="22"/>
              </w:rPr>
              <w:t xml:space="preserve">: </w:t>
            </w:r>
            <w:r>
              <w:rPr>
                <w:rFonts w:hint="eastAsia" w:ascii="仿宋_GB2312" w:cs="宋体"/>
                <w:sz w:val="22"/>
                <w:szCs w:val="22"/>
              </w:rPr>
              <w:t>小学、初中分别达到</w:t>
            </w:r>
            <w:r>
              <w:rPr>
                <w:rFonts w:hint="eastAsia" w:ascii="仿宋_GB2312"/>
                <w:sz w:val="22"/>
                <w:szCs w:val="22"/>
              </w:rPr>
              <w:t>7.5</w:t>
            </w:r>
            <w:r>
              <w:rPr>
                <w:rFonts w:hint="eastAsia" w:ascii="仿宋_GB2312" w:cs="宋体"/>
                <w:sz w:val="22"/>
                <w:szCs w:val="22"/>
              </w:rPr>
              <w:t>平方米以上、</w:t>
            </w:r>
            <w:r>
              <w:rPr>
                <w:rFonts w:hint="eastAsia" w:ascii="仿宋_GB2312"/>
                <w:sz w:val="22"/>
                <w:szCs w:val="22"/>
              </w:rPr>
              <w:t>10.2</w:t>
            </w:r>
            <w:r>
              <w:rPr>
                <w:rFonts w:hint="eastAsia" w:ascii="仿宋_GB2312" w:cs="宋体"/>
                <w:sz w:val="22"/>
                <w:szCs w:val="22"/>
              </w:rPr>
              <w:t>平方米以上。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C6</w:t>
            </w:r>
            <w:r>
              <w:rPr>
                <w:rFonts w:hint="eastAsia" w:ascii="仿宋_GB2312" w:cs="宋体"/>
                <w:sz w:val="22"/>
                <w:szCs w:val="22"/>
              </w:rPr>
              <w:t>生均教学仪器设备值：小学、初中分别达到</w:t>
            </w:r>
            <w:r>
              <w:rPr>
                <w:rFonts w:hint="eastAsia" w:ascii="仿宋_GB2312"/>
                <w:sz w:val="22"/>
                <w:szCs w:val="22"/>
              </w:rPr>
              <w:t>2000</w:t>
            </w:r>
            <w:r>
              <w:rPr>
                <w:rFonts w:hint="eastAsia" w:ascii="仿宋_GB2312" w:cs="宋体"/>
                <w:sz w:val="22"/>
                <w:szCs w:val="22"/>
              </w:rPr>
              <w:t>元以上、</w:t>
            </w:r>
            <w:r>
              <w:rPr>
                <w:rFonts w:hint="eastAsia" w:ascii="仿宋_GB2312"/>
                <w:sz w:val="22"/>
                <w:szCs w:val="22"/>
              </w:rPr>
              <w:t>2500</w:t>
            </w:r>
            <w:r>
              <w:rPr>
                <w:rFonts w:hint="eastAsia" w:ascii="仿宋_GB2312" w:cs="宋体"/>
                <w:sz w:val="22"/>
                <w:szCs w:val="22"/>
              </w:rPr>
              <w:t>元以上。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C7</w:t>
            </w:r>
            <w:r>
              <w:rPr>
                <w:rFonts w:hint="eastAsia" w:ascii="仿宋_GB2312" w:cs="宋体"/>
                <w:sz w:val="22"/>
                <w:szCs w:val="22"/>
              </w:rPr>
              <w:t>每百名学生拥有网络多媒体教室数：小学、初中分别达到</w:t>
            </w:r>
            <w:r>
              <w:rPr>
                <w:rFonts w:hint="eastAsia" w:ascii="仿宋_GB2312"/>
                <w:sz w:val="22"/>
                <w:szCs w:val="22"/>
              </w:rPr>
              <w:t>2.3</w:t>
            </w:r>
            <w:r>
              <w:rPr>
                <w:rFonts w:hint="eastAsia" w:ascii="仿宋_GB2312" w:cs="宋体"/>
                <w:sz w:val="22"/>
                <w:szCs w:val="22"/>
              </w:rPr>
              <w:t>间以上、</w:t>
            </w:r>
            <w:r>
              <w:rPr>
                <w:rFonts w:hint="eastAsia" w:ascii="仿宋_GB2312"/>
                <w:sz w:val="22"/>
                <w:szCs w:val="22"/>
              </w:rPr>
              <w:t>2.4</w:t>
            </w:r>
            <w:r>
              <w:rPr>
                <w:rFonts w:hint="eastAsia" w:ascii="仿宋_GB2312" w:cs="宋体"/>
                <w:sz w:val="22"/>
                <w:szCs w:val="22"/>
              </w:rPr>
              <w:t>间以上。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B3</w:t>
            </w:r>
          </w:p>
          <w:p>
            <w:pPr>
              <w:adjustRightInd w:val="0"/>
              <w:snapToGrid w:val="0"/>
              <w:jc w:val="center"/>
              <w:rPr>
                <w:rFonts w:hint="eastAsia" w:ascii="仿宋_GB2312"/>
                <w:b/>
                <w:bCs/>
                <w:sz w:val="22"/>
                <w:szCs w:val="22"/>
              </w:rPr>
            </w:pPr>
            <w:r>
              <w:rPr>
                <w:rFonts w:hint="eastAsia" w:ascii="仿宋_GB2312" w:cs="宋体"/>
                <w:b/>
                <w:bCs/>
                <w:sz w:val="22"/>
                <w:szCs w:val="22"/>
              </w:rPr>
              <w:t>办学</w:t>
            </w:r>
          </w:p>
          <w:p>
            <w:pPr>
              <w:adjustRightInd w:val="0"/>
              <w:snapToGrid w:val="0"/>
              <w:jc w:val="center"/>
              <w:rPr>
                <w:rFonts w:hint="eastAsia" w:ascii="仿宋_GB2312"/>
                <w:b/>
                <w:bCs/>
                <w:sz w:val="22"/>
                <w:szCs w:val="22"/>
              </w:rPr>
            </w:pPr>
            <w:r>
              <w:rPr>
                <w:rFonts w:hint="eastAsia" w:ascii="仿宋_GB2312" w:cs="宋体"/>
                <w:b/>
                <w:bCs/>
                <w:sz w:val="22"/>
                <w:szCs w:val="22"/>
              </w:rPr>
              <w:t>条件</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C8</w:t>
            </w:r>
            <w:r>
              <w:rPr>
                <w:rFonts w:hint="eastAsia" w:ascii="仿宋_GB2312" w:cs="宋体"/>
                <w:sz w:val="22"/>
                <w:szCs w:val="22"/>
              </w:rPr>
              <w:t>县域内义务教育学校规划布局合理，符合国家和省有关规定要求。</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C9</w:t>
            </w:r>
            <w:r>
              <w:rPr>
                <w:rFonts w:hint="eastAsia" w:ascii="仿宋_GB2312" w:cs="宋体"/>
                <w:sz w:val="22"/>
                <w:szCs w:val="22"/>
              </w:rPr>
              <w:t>县域内城乡义务教育学校建设标准统一、教师编制标准统一、生均公用经费基准定额统一、基本装备配置标准统一。</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C10</w:t>
            </w:r>
            <w:r>
              <w:rPr>
                <w:rFonts w:hint="eastAsia" w:ascii="仿宋_GB2312" w:cs="宋体"/>
                <w:sz w:val="22"/>
                <w:szCs w:val="22"/>
              </w:rPr>
              <w:t>所有小学、初中每</w:t>
            </w:r>
            <w:r>
              <w:rPr>
                <w:rFonts w:hint="eastAsia" w:ascii="仿宋_GB2312"/>
                <w:sz w:val="22"/>
                <w:szCs w:val="22"/>
              </w:rPr>
              <w:t>12</w:t>
            </w:r>
            <w:r>
              <w:rPr>
                <w:rFonts w:hint="eastAsia" w:ascii="仿宋_GB2312" w:cs="宋体"/>
                <w:sz w:val="22"/>
                <w:szCs w:val="22"/>
              </w:rPr>
              <w:t>个班级配备音乐、美术专用教室</w:t>
            </w:r>
            <w:r>
              <w:rPr>
                <w:rFonts w:hint="eastAsia" w:ascii="仿宋_GB2312"/>
                <w:sz w:val="22"/>
                <w:szCs w:val="22"/>
              </w:rPr>
              <w:t>1</w:t>
            </w:r>
            <w:r>
              <w:rPr>
                <w:rFonts w:hint="eastAsia" w:ascii="仿宋_GB2312" w:cs="宋体"/>
                <w:sz w:val="22"/>
                <w:szCs w:val="22"/>
              </w:rPr>
              <w:t>间以上；其中，每间音乐专用教室面积不小于</w:t>
            </w:r>
            <w:r>
              <w:rPr>
                <w:rFonts w:hint="eastAsia" w:ascii="仿宋_GB2312"/>
                <w:sz w:val="22"/>
                <w:szCs w:val="22"/>
              </w:rPr>
              <w:t>96</w:t>
            </w:r>
            <w:r>
              <w:rPr>
                <w:rFonts w:hint="eastAsia" w:ascii="仿宋_GB2312" w:cs="宋体"/>
                <w:sz w:val="22"/>
                <w:szCs w:val="22"/>
              </w:rPr>
              <w:t>平方米，每间美术专用教室面积不小于</w:t>
            </w:r>
            <w:r>
              <w:rPr>
                <w:rFonts w:hint="eastAsia" w:ascii="仿宋_GB2312"/>
                <w:sz w:val="22"/>
                <w:szCs w:val="22"/>
              </w:rPr>
              <w:t>90</w:t>
            </w:r>
            <w:r>
              <w:rPr>
                <w:rFonts w:hint="eastAsia" w:ascii="仿宋_GB2312" w:cs="宋体"/>
                <w:sz w:val="22"/>
                <w:szCs w:val="22"/>
              </w:rPr>
              <w:t>平方米。</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w:t>
            </w:r>
            <w:r>
              <w:rPr>
                <w:rFonts w:hint="eastAsia" w:ascii="仿宋_GB2312"/>
                <w:b/>
                <w:sz w:val="22"/>
                <w:szCs w:val="22"/>
                <w:lang w:val="en-US" w:eastAsia="zh-CN"/>
              </w:rPr>
              <w:t>1</w:t>
            </w:r>
            <w:r>
              <w:rPr>
                <w:rFonts w:hint="eastAsia" w:ascii="仿宋_GB2312" w:cs="宋体"/>
                <w:sz w:val="22"/>
                <w:szCs w:val="22"/>
              </w:rPr>
              <w:t>所有小学、初中规模不超过</w:t>
            </w:r>
            <w:r>
              <w:rPr>
                <w:rFonts w:hint="eastAsia" w:ascii="仿宋_GB2312"/>
                <w:sz w:val="22"/>
                <w:szCs w:val="22"/>
              </w:rPr>
              <w:t>2000</w:t>
            </w:r>
            <w:r>
              <w:rPr>
                <w:rFonts w:hint="eastAsia" w:ascii="仿宋_GB2312" w:cs="宋体"/>
                <w:sz w:val="22"/>
                <w:szCs w:val="22"/>
              </w:rPr>
              <w:t>人，九年一贯制学校、十二年一贯制学校义务教育阶段规模不超过</w:t>
            </w:r>
            <w:r>
              <w:rPr>
                <w:rFonts w:hint="eastAsia" w:ascii="仿宋_GB2312"/>
                <w:sz w:val="22"/>
                <w:szCs w:val="22"/>
              </w:rPr>
              <w:t>2500</w:t>
            </w:r>
            <w:r>
              <w:rPr>
                <w:rFonts w:hint="eastAsia" w:ascii="仿宋_GB2312" w:cs="宋体"/>
                <w:sz w:val="22"/>
                <w:szCs w:val="22"/>
              </w:rPr>
              <w:t>人。</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C12</w:t>
            </w:r>
            <w:r>
              <w:rPr>
                <w:rFonts w:hint="eastAsia" w:ascii="仿宋_GB2312" w:cs="宋体"/>
                <w:sz w:val="22"/>
                <w:szCs w:val="22"/>
              </w:rPr>
              <w:t>小学、初中所有班级学生数分别不超过</w:t>
            </w:r>
            <w:r>
              <w:rPr>
                <w:rFonts w:hint="eastAsia" w:ascii="仿宋_GB2312"/>
                <w:sz w:val="22"/>
                <w:szCs w:val="22"/>
              </w:rPr>
              <w:t>45</w:t>
            </w:r>
            <w:r>
              <w:rPr>
                <w:rFonts w:hint="eastAsia" w:ascii="仿宋_GB2312" w:cs="宋体"/>
                <w:sz w:val="22"/>
                <w:szCs w:val="22"/>
              </w:rPr>
              <w:t>人、</w:t>
            </w:r>
            <w:r>
              <w:rPr>
                <w:rFonts w:hint="eastAsia" w:ascii="仿宋_GB2312"/>
                <w:sz w:val="22"/>
                <w:szCs w:val="22"/>
              </w:rPr>
              <w:t>50</w:t>
            </w:r>
            <w:r>
              <w:rPr>
                <w:rFonts w:hint="eastAsia" w:ascii="仿宋_GB2312" w:cs="宋体"/>
                <w:sz w:val="22"/>
                <w:szCs w:val="22"/>
              </w:rPr>
              <w:t>人。</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B4</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b/>
                <w:bCs/>
                <w:sz w:val="22"/>
                <w:szCs w:val="22"/>
              </w:rPr>
            </w:pPr>
            <w:r>
              <w:rPr>
                <w:rFonts w:hint="eastAsia" w:ascii="仿宋_GB2312" w:cs="宋体"/>
                <w:b/>
                <w:bCs/>
                <w:sz w:val="22"/>
                <w:szCs w:val="22"/>
              </w:rPr>
              <w:t>经费</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C13</w:t>
            </w:r>
            <w:r>
              <w:rPr>
                <w:rFonts w:hint="eastAsia" w:ascii="仿宋_GB2312"/>
                <w:sz w:val="22"/>
                <w:szCs w:val="22"/>
              </w:rPr>
              <w:t>农村</w:t>
            </w:r>
            <w:r>
              <w:rPr>
                <w:rFonts w:hint="eastAsia" w:ascii="仿宋_GB2312" w:cs="宋体"/>
                <w:sz w:val="22"/>
                <w:szCs w:val="22"/>
              </w:rPr>
              <w:t>不足</w:t>
            </w:r>
            <w:r>
              <w:rPr>
                <w:rFonts w:hint="eastAsia" w:ascii="仿宋_GB2312"/>
                <w:sz w:val="22"/>
                <w:szCs w:val="22"/>
              </w:rPr>
              <w:t>100人的小规模学校</w:t>
            </w:r>
            <w:r>
              <w:rPr>
                <w:rFonts w:hint="eastAsia" w:ascii="仿宋_GB2312" w:cs="宋体"/>
                <w:sz w:val="22"/>
                <w:szCs w:val="22"/>
              </w:rPr>
              <w:t>按</w:t>
            </w:r>
            <w:r>
              <w:rPr>
                <w:rFonts w:hint="eastAsia" w:ascii="仿宋_GB2312"/>
                <w:sz w:val="22"/>
                <w:szCs w:val="22"/>
              </w:rPr>
              <w:t>100</w:t>
            </w:r>
            <w:r>
              <w:rPr>
                <w:rFonts w:hint="eastAsia" w:ascii="仿宋_GB2312" w:cs="宋体"/>
                <w:sz w:val="22"/>
                <w:szCs w:val="22"/>
              </w:rPr>
              <w:t>人核定公用经费。</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C14</w:t>
            </w:r>
            <w:r>
              <w:rPr>
                <w:rFonts w:hint="eastAsia" w:ascii="仿宋_GB2312" w:cs="宋体"/>
                <w:sz w:val="22"/>
                <w:szCs w:val="22"/>
              </w:rPr>
              <w:t>特殊</w:t>
            </w:r>
            <w:r>
              <w:rPr>
                <w:rFonts w:hint="eastAsia" w:ascii="仿宋_GB2312" w:cs="宋体"/>
                <w:spacing w:val="-12"/>
                <w:sz w:val="22"/>
                <w:szCs w:val="22"/>
              </w:rPr>
              <w:t>教育学校和随班就读的残疾学生生均公用经费不低于</w:t>
            </w:r>
            <w:r>
              <w:rPr>
                <w:rFonts w:hint="eastAsia" w:ascii="仿宋_GB2312"/>
                <w:spacing w:val="-12"/>
                <w:sz w:val="22"/>
                <w:szCs w:val="22"/>
              </w:rPr>
              <w:t>6000</w:t>
            </w:r>
            <w:r>
              <w:rPr>
                <w:rFonts w:hint="eastAsia" w:ascii="仿宋_GB2312" w:cs="宋体"/>
                <w:spacing w:val="-12"/>
                <w:sz w:val="22"/>
                <w:szCs w:val="22"/>
              </w:rPr>
              <w:t>元。</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C15</w:t>
            </w:r>
            <w:r>
              <w:rPr>
                <w:rFonts w:hint="eastAsia" w:ascii="仿宋_GB2312" w:cs="宋体"/>
                <w:sz w:val="22"/>
                <w:szCs w:val="22"/>
              </w:rPr>
              <w:t>全县义务教育学校教师平均工资收入水平不低于当地公务员平均工资收入水平，按规定足额核定教师绩效工资总量。</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 xml:space="preserve">B5 </w:t>
            </w:r>
          </w:p>
          <w:p>
            <w:pPr>
              <w:adjustRightInd w:val="0"/>
              <w:snapToGrid w:val="0"/>
              <w:jc w:val="center"/>
              <w:rPr>
                <w:rFonts w:hint="eastAsia" w:ascii="仿宋_GB2312"/>
                <w:b/>
                <w:bCs/>
                <w:sz w:val="22"/>
                <w:szCs w:val="22"/>
              </w:rPr>
            </w:pPr>
            <w:r>
              <w:rPr>
                <w:rFonts w:hint="eastAsia" w:ascii="仿宋_GB2312" w:cs="宋体"/>
                <w:b/>
                <w:bCs/>
                <w:sz w:val="22"/>
                <w:szCs w:val="22"/>
              </w:rPr>
              <w:t>教师</w:t>
            </w:r>
          </w:p>
          <w:p>
            <w:pPr>
              <w:adjustRightInd w:val="0"/>
              <w:snapToGrid w:val="0"/>
              <w:jc w:val="center"/>
              <w:rPr>
                <w:rFonts w:hint="eastAsia" w:ascii="仿宋_GB2312"/>
                <w:b/>
                <w:bCs/>
                <w:sz w:val="22"/>
                <w:szCs w:val="22"/>
              </w:rPr>
            </w:pPr>
            <w:r>
              <w:rPr>
                <w:rFonts w:hint="eastAsia" w:ascii="仿宋_GB2312" w:cs="宋体"/>
                <w:b/>
                <w:bCs/>
                <w:sz w:val="22"/>
                <w:szCs w:val="22"/>
              </w:rPr>
              <w:t>队伍</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C16</w:t>
            </w:r>
            <w:r>
              <w:rPr>
                <w:rFonts w:hint="eastAsia" w:ascii="仿宋_GB2312" w:cs="宋体"/>
                <w:sz w:val="22"/>
                <w:szCs w:val="22"/>
              </w:rPr>
              <w:t>教师</w:t>
            </w:r>
            <w:r>
              <w:rPr>
                <w:rFonts w:hint="eastAsia" w:ascii="仿宋_GB2312"/>
                <w:sz w:val="22"/>
                <w:szCs w:val="22"/>
              </w:rPr>
              <w:t>5</w:t>
            </w:r>
            <w:r>
              <w:rPr>
                <w:rFonts w:hint="eastAsia" w:ascii="仿宋_GB2312" w:cs="宋体"/>
                <w:sz w:val="22"/>
                <w:szCs w:val="22"/>
              </w:rPr>
              <w:t>年</w:t>
            </w:r>
            <w:r>
              <w:rPr>
                <w:rFonts w:hint="eastAsia" w:ascii="仿宋_GB2312"/>
                <w:sz w:val="22"/>
                <w:szCs w:val="22"/>
              </w:rPr>
              <w:t>360</w:t>
            </w:r>
            <w:r>
              <w:rPr>
                <w:rFonts w:hint="eastAsia" w:ascii="仿宋_GB2312" w:cs="宋体"/>
                <w:sz w:val="22"/>
                <w:szCs w:val="22"/>
              </w:rPr>
              <w:t>学时培训完成率达到</w:t>
            </w:r>
            <w:r>
              <w:rPr>
                <w:rFonts w:hint="eastAsia" w:ascii="仿宋_GB2312"/>
                <w:sz w:val="22"/>
                <w:szCs w:val="22"/>
              </w:rPr>
              <w:t>100%</w:t>
            </w:r>
            <w:r>
              <w:rPr>
                <w:rFonts w:hint="eastAsia" w:ascii="仿宋_GB2312" w:cs="宋体"/>
                <w:sz w:val="22"/>
                <w:szCs w:val="22"/>
              </w:rPr>
              <w:t>。</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C17</w:t>
            </w:r>
            <w:r>
              <w:rPr>
                <w:rFonts w:hint="eastAsia" w:ascii="仿宋_GB2312" w:cs="宋体"/>
                <w:sz w:val="22"/>
                <w:szCs w:val="22"/>
              </w:rPr>
              <w:t>县级教育行政部门在核定的教职工编制总额和岗位总量内，统筹分配各校教职工编制和岗位数量。</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C18</w:t>
            </w:r>
            <w:r>
              <w:rPr>
                <w:rFonts w:hint="eastAsia" w:ascii="仿宋_GB2312" w:cs="宋体"/>
                <w:sz w:val="22"/>
                <w:szCs w:val="22"/>
              </w:rPr>
              <w:t>全县每年交流轮岗教师的比例不低于符合交流条件教师总数的</w:t>
            </w:r>
            <w:r>
              <w:rPr>
                <w:rFonts w:hint="eastAsia" w:ascii="仿宋_GB2312"/>
                <w:sz w:val="22"/>
                <w:szCs w:val="22"/>
              </w:rPr>
              <w:t>10%</w:t>
            </w:r>
            <w:r>
              <w:rPr>
                <w:rFonts w:hint="eastAsia" w:ascii="仿宋_GB2312" w:cs="宋体"/>
                <w:sz w:val="22"/>
                <w:szCs w:val="22"/>
              </w:rPr>
              <w:t>；其中，骨干教师不低于交流轮岗教师总数的</w:t>
            </w:r>
            <w:r>
              <w:rPr>
                <w:rFonts w:hint="eastAsia" w:ascii="仿宋_GB2312"/>
                <w:sz w:val="22"/>
                <w:szCs w:val="22"/>
              </w:rPr>
              <w:t>20%</w:t>
            </w:r>
            <w:r>
              <w:rPr>
                <w:rFonts w:hint="eastAsia" w:ascii="仿宋_GB2312" w:cs="宋体"/>
                <w:sz w:val="22"/>
                <w:szCs w:val="22"/>
              </w:rPr>
              <w:t>。</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C1</w:t>
            </w:r>
            <w:r>
              <w:rPr>
                <w:rFonts w:hint="eastAsia" w:ascii="仿宋_GB2312"/>
                <w:b/>
                <w:sz w:val="22"/>
                <w:szCs w:val="22"/>
                <w:lang w:val="en-US" w:eastAsia="zh-CN"/>
              </w:rPr>
              <w:t>9</w:t>
            </w:r>
            <w:r>
              <w:rPr>
                <w:rFonts w:hint="eastAsia" w:ascii="仿宋_GB2312" w:cs="宋体"/>
                <w:sz w:val="22"/>
                <w:szCs w:val="22"/>
              </w:rPr>
              <w:t>专任教师持有教师资格证上岗率达到</w:t>
            </w:r>
            <w:r>
              <w:rPr>
                <w:rFonts w:hint="eastAsia" w:ascii="仿宋_GB2312"/>
                <w:sz w:val="22"/>
                <w:szCs w:val="22"/>
              </w:rPr>
              <w:t>100%</w:t>
            </w:r>
            <w:r>
              <w:rPr>
                <w:rFonts w:hint="eastAsia" w:ascii="仿宋_GB2312" w:cs="宋体"/>
                <w:sz w:val="22"/>
                <w:szCs w:val="22"/>
              </w:rPr>
              <w:t>。</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A2</w:t>
            </w:r>
          </w:p>
          <w:p>
            <w:pPr>
              <w:adjustRightInd w:val="0"/>
              <w:snapToGrid w:val="0"/>
              <w:jc w:val="center"/>
              <w:rPr>
                <w:rFonts w:hint="eastAsia" w:ascii="仿宋_GB2312"/>
                <w:b/>
                <w:bCs/>
                <w:sz w:val="22"/>
                <w:szCs w:val="22"/>
              </w:rPr>
            </w:pPr>
            <w:r>
              <w:rPr>
                <w:rFonts w:hint="eastAsia" w:ascii="仿宋_GB2312" w:cs="宋体"/>
                <w:b/>
                <w:bCs/>
                <w:sz w:val="22"/>
                <w:szCs w:val="22"/>
              </w:rPr>
              <w:t>政府</w:t>
            </w:r>
          </w:p>
          <w:p>
            <w:pPr>
              <w:adjustRightInd w:val="0"/>
              <w:snapToGrid w:val="0"/>
              <w:jc w:val="center"/>
              <w:rPr>
                <w:rFonts w:hint="eastAsia" w:ascii="仿宋_GB2312"/>
                <w:b/>
                <w:bCs/>
                <w:sz w:val="22"/>
                <w:szCs w:val="22"/>
              </w:rPr>
            </w:pPr>
            <w:r>
              <w:rPr>
                <w:rFonts w:hint="eastAsia" w:ascii="仿宋_GB2312" w:cs="宋体"/>
                <w:b/>
                <w:bCs/>
                <w:sz w:val="22"/>
                <w:szCs w:val="22"/>
              </w:rPr>
              <w:t>保障</w:t>
            </w:r>
          </w:p>
          <w:p>
            <w:pPr>
              <w:adjustRightInd w:val="0"/>
              <w:snapToGrid w:val="0"/>
              <w:jc w:val="center"/>
              <w:rPr>
                <w:rFonts w:hint="eastAsia" w:ascii="仿宋_GB2312"/>
                <w:sz w:val="22"/>
                <w:szCs w:val="22"/>
              </w:rPr>
            </w:pPr>
            <w:r>
              <w:rPr>
                <w:rFonts w:hint="eastAsia" w:ascii="仿宋_GB2312" w:cs="宋体"/>
                <w:b/>
                <w:bCs/>
                <w:sz w:val="22"/>
                <w:szCs w:val="22"/>
              </w:rPr>
              <w:t>程度</w:t>
            </w: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 xml:space="preserve">B6 </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b/>
                <w:bCs/>
                <w:sz w:val="22"/>
                <w:szCs w:val="22"/>
              </w:rPr>
            </w:pPr>
            <w:r>
              <w:rPr>
                <w:rFonts w:hint="eastAsia" w:ascii="仿宋_GB2312" w:cs="宋体"/>
                <w:b/>
                <w:bCs/>
                <w:sz w:val="22"/>
                <w:szCs w:val="22"/>
              </w:rPr>
              <w:t>公平</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C20</w:t>
            </w:r>
            <w:r>
              <w:rPr>
                <w:rFonts w:hint="eastAsia" w:ascii="仿宋_GB2312" w:cs="宋体"/>
                <w:sz w:val="22"/>
                <w:szCs w:val="22"/>
              </w:rPr>
              <w:t>城区和镇区公办小学、初中（均不含寄宿制学校）就近划片入学比例分别达到</w:t>
            </w:r>
            <w:r>
              <w:rPr>
                <w:rFonts w:hint="eastAsia" w:ascii="仿宋_GB2312"/>
                <w:sz w:val="22"/>
                <w:szCs w:val="22"/>
              </w:rPr>
              <w:t>100%</w:t>
            </w:r>
            <w:r>
              <w:rPr>
                <w:rFonts w:hint="eastAsia" w:ascii="仿宋_GB2312" w:cs="宋体"/>
                <w:sz w:val="22"/>
                <w:szCs w:val="22"/>
              </w:rPr>
              <w:t>、</w:t>
            </w:r>
            <w:r>
              <w:rPr>
                <w:rFonts w:hint="eastAsia" w:ascii="仿宋_GB2312"/>
                <w:sz w:val="22"/>
                <w:szCs w:val="22"/>
              </w:rPr>
              <w:t>95%</w:t>
            </w:r>
            <w:r>
              <w:rPr>
                <w:rFonts w:hint="eastAsia" w:ascii="仿宋_GB2312" w:cs="宋体"/>
                <w:sz w:val="22"/>
                <w:szCs w:val="22"/>
              </w:rPr>
              <w:t>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C21</w:t>
            </w:r>
            <w:r>
              <w:rPr>
                <w:rFonts w:hint="eastAsia" w:ascii="仿宋_GB2312" w:cs="宋体"/>
                <w:sz w:val="22"/>
                <w:szCs w:val="22"/>
              </w:rPr>
              <w:t>全县优质高中招生名额分配比例不低于</w:t>
            </w:r>
            <w:r>
              <w:rPr>
                <w:rFonts w:hint="eastAsia" w:ascii="仿宋_GB2312"/>
                <w:sz w:val="22"/>
                <w:szCs w:val="22"/>
              </w:rPr>
              <w:t>50%</w:t>
            </w:r>
            <w:r>
              <w:rPr>
                <w:rFonts w:hint="eastAsia" w:ascii="仿宋_GB2312" w:cs="宋体"/>
                <w:sz w:val="22"/>
                <w:szCs w:val="22"/>
              </w:rPr>
              <w:t>，并向农村初中倾斜。</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C22</w:t>
            </w:r>
            <w:r>
              <w:rPr>
                <w:rFonts w:hint="eastAsia" w:ascii="仿宋_GB2312" w:cs="宋体"/>
                <w:sz w:val="22"/>
                <w:szCs w:val="22"/>
              </w:rPr>
              <w:t>留守儿童关爱体系健全；全县符合条件的随迁子女在公办学校和政府购买服务的民办学校就读的比例不低于</w:t>
            </w:r>
            <w:r>
              <w:rPr>
                <w:rFonts w:hint="eastAsia" w:ascii="仿宋_GB2312"/>
                <w:sz w:val="22"/>
                <w:szCs w:val="22"/>
              </w:rPr>
              <w:t>85%</w:t>
            </w:r>
            <w:r>
              <w:rPr>
                <w:rFonts w:hint="eastAsia" w:ascii="仿宋_GB2312" w:cs="宋体"/>
                <w:sz w:val="22"/>
                <w:szCs w:val="22"/>
              </w:rPr>
              <w:t>。</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A3</w:t>
            </w:r>
          </w:p>
          <w:p>
            <w:pPr>
              <w:adjustRightInd w:val="0"/>
              <w:snapToGrid w:val="0"/>
              <w:jc w:val="center"/>
              <w:rPr>
                <w:rFonts w:hint="eastAsia" w:ascii="仿宋_GB2312"/>
                <w:b/>
                <w:bCs/>
                <w:sz w:val="22"/>
                <w:szCs w:val="22"/>
              </w:rPr>
            </w:pPr>
            <w:r>
              <w:rPr>
                <w:rFonts w:hint="eastAsia" w:ascii="仿宋_GB2312" w:cs="宋体"/>
                <w:b/>
                <w:bCs/>
                <w:sz w:val="22"/>
                <w:szCs w:val="22"/>
              </w:rPr>
              <w:t>教育</w:t>
            </w:r>
          </w:p>
          <w:p>
            <w:pPr>
              <w:adjustRightInd w:val="0"/>
              <w:snapToGrid w:val="0"/>
              <w:jc w:val="center"/>
              <w:rPr>
                <w:rFonts w:hint="eastAsia" w:ascii="仿宋_GB2312"/>
                <w:sz w:val="22"/>
                <w:szCs w:val="22"/>
              </w:rPr>
            </w:pPr>
            <w:r>
              <w:rPr>
                <w:rFonts w:hint="eastAsia" w:ascii="仿宋_GB2312" w:cs="宋体"/>
                <w:b/>
                <w:bCs/>
                <w:sz w:val="22"/>
                <w:szCs w:val="22"/>
              </w:rPr>
              <w:t>质量</w:t>
            </w: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B7</w:t>
            </w:r>
          </w:p>
          <w:p>
            <w:pPr>
              <w:adjustRightInd w:val="0"/>
              <w:snapToGrid w:val="0"/>
              <w:jc w:val="center"/>
              <w:rPr>
                <w:rFonts w:hint="eastAsia" w:ascii="仿宋_GB2312"/>
                <w:b/>
                <w:bCs/>
                <w:sz w:val="22"/>
                <w:szCs w:val="22"/>
              </w:rPr>
            </w:pPr>
            <w:r>
              <w:rPr>
                <w:rFonts w:hint="eastAsia" w:ascii="仿宋_GB2312" w:cs="宋体"/>
                <w:b/>
                <w:bCs/>
                <w:sz w:val="22"/>
                <w:szCs w:val="22"/>
              </w:rPr>
              <w:t>教育普</w:t>
            </w:r>
          </w:p>
          <w:p>
            <w:pPr>
              <w:adjustRightInd w:val="0"/>
              <w:snapToGrid w:val="0"/>
              <w:jc w:val="center"/>
              <w:rPr>
                <w:rFonts w:hint="eastAsia" w:ascii="仿宋_GB2312"/>
                <w:b/>
                <w:bCs/>
                <w:sz w:val="22"/>
                <w:szCs w:val="22"/>
              </w:rPr>
            </w:pPr>
            <w:r>
              <w:rPr>
                <w:rFonts w:hint="eastAsia" w:ascii="仿宋_GB2312" w:cs="宋体"/>
                <w:b/>
                <w:bCs/>
                <w:sz w:val="22"/>
                <w:szCs w:val="22"/>
              </w:rPr>
              <w:t>及程度</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C23</w:t>
            </w:r>
            <w:r>
              <w:rPr>
                <w:rFonts w:hint="eastAsia" w:ascii="仿宋_GB2312" w:cs="宋体"/>
                <w:sz w:val="22"/>
                <w:szCs w:val="22"/>
              </w:rPr>
              <w:t>全县初中三年巩固率达到95%以上。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C24</w:t>
            </w:r>
            <w:r>
              <w:rPr>
                <w:rFonts w:hint="eastAsia" w:ascii="仿宋_GB2312" w:cs="宋体"/>
                <w:sz w:val="22"/>
                <w:szCs w:val="22"/>
              </w:rPr>
              <w:t>全县残疾儿童少年入学率达到95%以上。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restar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B8</w:t>
            </w:r>
          </w:p>
          <w:p>
            <w:pPr>
              <w:adjustRightInd w:val="0"/>
              <w:snapToGrid w:val="0"/>
              <w:jc w:val="center"/>
              <w:rPr>
                <w:rFonts w:hint="eastAsia" w:ascii="仿宋_GB2312"/>
                <w:b/>
                <w:bCs/>
                <w:sz w:val="22"/>
                <w:szCs w:val="22"/>
              </w:rPr>
            </w:pPr>
            <w:r>
              <w:rPr>
                <w:rFonts w:hint="eastAsia" w:ascii="仿宋_GB2312" w:cs="宋体"/>
                <w:b/>
                <w:bCs/>
                <w:sz w:val="22"/>
                <w:szCs w:val="22"/>
              </w:rPr>
              <w:t>学校</w:t>
            </w:r>
          </w:p>
          <w:p>
            <w:pPr>
              <w:adjustRightInd w:val="0"/>
              <w:snapToGrid w:val="0"/>
              <w:jc w:val="center"/>
              <w:rPr>
                <w:rFonts w:hint="eastAsia" w:ascii="仿宋_GB2312"/>
                <w:b/>
                <w:bCs/>
                <w:sz w:val="22"/>
                <w:szCs w:val="22"/>
              </w:rPr>
            </w:pPr>
            <w:r>
              <w:rPr>
                <w:rFonts w:hint="eastAsia" w:ascii="仿宋_GB2312" w:cs="宋体"/>
                <w:b/>
                <w:bCs/>
                <w:sz w:val="22"/>
                <w:szCs w:val="22"/>
              </w:rPr>
              <w:t>管理</w:t>
            </w:r>
          </w:p>
          <w:p>
            <w:pPr>
              <w:adjustRightInd w:val="0"/>
              <w:snapToGrid w:val="0"/>
              <w:jc w:val="center"/>
              <w:rPr>
                <w:rFonts w:hint="eastAsia" w:ascii="仿宋_GB2312"/>
                <w:b/>
                <w:bCs/>
                <w:sz w:val="22"/>
                <w:szCs w:val="22"/>
              </w:rPr>
            </w:pPr>
            <w:r>
              <w:rPr>
                <w:rFonts w:hint="eastAsia" w:ascii="仿宋_GB2312" w:cs="宋体"/>
                <w:b/>
                <w:bCs/>
                <w:sz w:val="22"/>
                <w:szCs w:val="22"/>
              </w:rPr>
              <w:t>水平</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C25</w:t>
            </w:r>
            <w:r>
              <w:rPr>
                <w:rFonts w:hint="eastAsia" w:ascii="仿宋_GB2312" w:cs="宋体"/>
                <w:bCs/>
                <w:sz w:val="22"/>
                <w:szCs w:val="22"/>
              </w:rPr>
              <w:t>所</w:t>
            </w:r>
            <w:r>
              <w:rPr>
                <w:rFonts w:hint="eastAsia" w:ascii="仿宋_GB2312" w:cs="宋体"/>
                <w:sz w:val="22"/>
                <w:szCs w:val="22"/>
              </w:rPr>
              <w:t>有学校制定章程；实现学校管理与教学信息化。</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C26</w:t>
            </w:r>
            <w:r>
              <w:rPr>
                <w:rFonts w:hint="eastAsia" w:ascii="仿宋_GB2312" w:cs="宋体"/>
                <w:sz w:val="22"/>
                <w:szCs w:val="22"/>
              </w:rPr>
              <w:t>全县所有学校按照不低于学校年度公用经费预算总额的5%安排教师培训经费。</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C27</w:t>
            </w:r>
            <w:r>
              <w:rPr>
                <w:rFonts w:hint="eastAsia" w:ascii="仿宋_GB2312" w:cs="宋体"/>
                <w:sz w:val="22"/>
                <w:szCs w:val="22"/>
              </w:rPr>
              <w:t>教师能熟练运用信息化手段组织教学，设施设备利用率达到较高水平。</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C28</w:t>
            </w:r>
            <w:r>
              <w:rPr>
                <w:rFonts w:hint="eastAsia" w:ascii="仿宋_GB2312" w:cs="宋体"/>
                <w:sz w:val="22"/>
                <w:szCs w:val="22"/>
              </w:rPr>
              <w:t>所有学校德育工作、校园文化建设水平达到良好以上。</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C29</w:t>
            </w:r>
            <w:r>
              <w:rPr>
                <w:rFonts w:hint="eastAsia" w:ascii="仿宋_GB2312" w:cs="宋体"/>
                <w:sz w:val="22"/>
                <w:szCs w:val="22"/>
              </w:rPr>
              <w:t>课程开齐开足，教学秩序规范，综合实践活动有效开展。</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vMerge w:val="continue"/>
            <w:noWrap w:val="0"/>
            <w:tcMar>
              <w:left w:w="0" w:type="dxa"/>
              <w:right w:w="0" w:type="dxa"/>
            </w:tcMar>
            <w:vAlign w:val="center"/>
          </w:tcPr>
          <w:p>
            <w:pPr>
              <w:adjustRightInd w:val="0"/>
              <w:snapToGrid w:val="0"/>
              <w:jc w:val="center"/>
              <w:rPr>
                <w:rFonts w:hint="eastAsia" w:ascii="仿宋_GB2312"/>
                <w:b/>
                <w:bCs/>
                <w:sz w:val="22"/>
                <w:szCs w:val="22"/>
              </w:rPr>
            </w:pP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cs="宋体"/>
                <w:b/>
                <w:sz w:val="22"/>
                <w:szCs w:val="22"/>
              </w:rPr>
              <w:t>C30</w:t>
            </w:r>
            <w:r>
              <w:rPr>
                <w:rFonts w:hint="eastAsia" w:ascii="仿宋_GB2312" w:cs="宋体"/>
                <w:sz w:val="22"/>
                <w:szCs w:val="22"/>
              </w:rPr>
              <w:t>无过重课业负担。</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B</w:t>
            </w: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宋体"/>
                <w:b/>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noWrap w:val="0"/>
            <w:tcMar>
              <w:left w:w="0" w:type="dxa"/>
              <w:right w:w="0" w:type="dxa"/>
            </w:tcMar>
            <w:vAlign w:val="center"/>
          </w:tcPr>
          <w:p>
            <w:pPr>
              <w:adjustRightInd w:val="0"/>
              <w:snapToGrid w:val="0"/>
              <w:jc w:val="center"/>
              <w:rPr>
                <w:rFonts w:hint="eastAsia" w:ascii="仿宋_GB2312"/>
                <w:sz w:val="22"/>
                <w:szCs w:val="22"/>
              </w:rPr>
            </w:pPr>
          </w:p>
        </w:tc>
        <w:tc>
          <w:tcPr>
            <w:tcW w:w="493" w:type="pct"/>
            <w:noWrap w:val="0"/>
            <w:tcMar>
              <w:left w:w="0" w:type="dxa"/>
              <w:right w:w="0" w:type="dxa"/>
            </w:tcMar>
            <w:vAlign w:val="center"/>
          </w:tcPr>
          <w:p>
            <w:pPr>
              <w:adjustRightInd w:val="0"/>
              <w:snapToGrid w:val="0"/>
              <w:jc w:val="center"/>
              <w:rPr>
                <w:rFonts w:hint="eastAsia" w:ascii="仿宋_GB2312"/>
                <w:b/>
                <w:bCs/>
                <w:sz w:val="22"/>
                <w:szCs w:val="22"/>
              </w:rPr>
            </w:pPr>
            <w:r>
              <w:rPr>
                <w:rFonts w:hint="eastAsia" w:ascii="仿宋_GB2312"/>
                <w:b/>
                <w:bCs/>
                <w:sz w:val="22"/>
                <w:szCs w:val="22"/>
              </w:rPr>
              <w:t>B9</w:t>
            </w:r>
          </w:p>
          <w:p>
            <w:pPr>
              <w:adjustRightInd w:val="0"/>
              <w:snapToGrid w:val="0"/>
              <w:jc w:val="center"/>
              <w:rPr>
                <w:rFonts w:hint="eastAsia" w:ascii="仿宋_GB2312"/>
                <w:b/>
                <w:bCs/>
                <w:spacing w:val="-12"/>
                <w:sz w:val="22"/>
                <w:szCs w:val="22"/>
              </w:rPr>
            </w:pPr>
            <w:r>
              <w:rPr>
                <w:rFonts w:hint="eastAsia" w:ascii="仿宋_GB2312" w:cs="宋体"/>
                <w:b/>
                <w:bCs/>
                <w:spacing w:val="-12"/>
                <w:sz w:val="22"/>
                <w:szCs w:val="22"/>
              </w:rPr>
              <w:t>学业质量</w:t>
            </w:r>
          </w:p>
          <w:p>
            <w:pPr>
              <w:adjustRightInd w:val="0"/>
              <w:snapToGrid w:val="0"/>
              <w:jc w:val="center"/>
              <w:rPr>
                <w:rFonts w:hint="eastAsia" w:ascii="仿宋_GB2312"/>
                <w:b/>
                <w:bCs/>
                <w:sz w:val="22"/>
                <w:szCs w:val="22"/>
              </w:rPr>
            </w:pPr>
            <w:r>
              <w:rPr>
                <w:rFonts w:hint="eastAsia" w:ascii="仿宋_GB2312" w:cs="宋体"/>
                <w:b/>
                <w:bCs/>
                <w:spacing w:val="-12"/>
                <w:sz w:val="22"/>
                <w:szCs w:val="22"/>
              </w:rPr>
              <w:t>与综合素质</w:t>
            </w:r>
          </w:p>
        </w:tc>
        <w:tc>
          <w:tcPr>
            <w:tcW w:w="2371" w:type="pct"/>
            <w:noWrap w:val="0"/>
            <w:tcMar>
              <w:left w:w="0" w:type="dxa"/>
              <w:right w:w="0" w:type="dxa"/>
            </w:tcMar>
            <w:vAlign w:val="center"/>
          </w:tcPr>
          <w:p>
            <w:pPr>
              <w:adjustRightInd w:val="0"/>
              <w:snapToGrid w:val="0"/>
              <w:rPr>
                <w:rFonts w:hint="eastAsia" w:ascii="仿宋_GB2312"/>
                <w:sz w:val="22"/>
                <w:szCs w:val="22"/>
              </w:rPr>
            </w:pPr>
            <w:r>
              <w:rPr>
                <w:rFonts w:hint="eastAsia" w:ascii="仿宋_GB2312"/>
                <w:b/>
                <w:sz w:val="22"/>
                <w:szCs w:val="22"/>
              </w:rPr>
              <w:t>C31</w:t>
            </w:r>
            <w:r>
              <w:rPr>
                <w:rFonts w:hint="eastAsia" w:ascii="仿宋_GB2312" w:cs="宋体"/>
                <w:sz w:val="22"/>
                <w:szCs w:val="22"/>
              </w:rPr>
              <w:t>在国家或省义务教育质量监测中，相关科目学生学业水平达到Ⅲ级以上，且校际差异率低于</w:t>
            </w:r>
            <w:r>
              <w:rPr>
                <w:rFonts w:hint="eastAsia" w:ascii="仿宋_GB2312"/>
                <w:sz w:val="22"/>
                <w:szCs w:val="22"/>
              </w:rPr>
              <w:t>0.15</w:t>
            </w:r>
            <w:r>
              <w:rPr>
                <w:rFonts w:hint="eastAsia" w:ascii="仿宋_GB2312" w:cs="宋体"/>
                <w:sz w:val="22"/>
                <w:szCs w:val="22"/>
              </w:rPr>
              <w:t>。</w:t>
            </w:r>
          </w:p>
        </w:tc>
        <w:tc>
          <w:tcPr>
            <w:tcW w:w="531" w:type="pct"/>
            <w:noWrap w:val="0"/>
            <w:tcMar>
              <w:left w:w="0" w:type="dxa"/>
              <w:right w:w="0" w:type="dxa"/>
            </w:tcMar>
            <w:vAlign w:val="center"/>
          </w:tcPr>
          <w:p>
            <w:pPr>
              <w:adjustRightInd w:val="0"/>
              <w:snapToGrid w:val="0"/>
              <w:jc w:val="center"/>
              <w:rPr>
                <w:rFonts w:hint="eastAsia" w:ascii="仿宋_GB2312"/>
                <w:sz w:val="22"/>
                <w:szCs w:val="22"/>
              </w:rPr>
            </w:pPr>
            <w:r>
              <w:rPr>
                <w:rFonts w:hint="eastAsia" w:ascii="仿宋_GB2312"/>
                <w:sz w:val="22"/>
                <w:szCs w:val="22"/>
              </w:rPr>
              <w:t>A</w:t>
            </w: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9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c>
          <w:tcPr>
            <w:tcW w:w="319" w:type="pct"/>
            <w:noWrap w:val="0"/>
            <w:tcMar>
              <w:left w:w="0" w:type="dxa"/>
              <w:right w:w="0" w:type="dxa"/>
            </w:tcMar>
            <w:vAlign w:val="center"/>
          </w:tcPr>
          <w:p>
            <w:pPr>
              <w:adjustRightInd w:val="0"/>
              <w:snapToGrid w:val="0"/>
              <w:rPr>
                <w:rFonts w:hint="eastAsia" w:ascii="仿宋_GB2312" w:hAnsi="Calibri" w:eastAsia="仿宋_GB2312" w:cs="Times New Roman"/>
                <w:b/>
                <w:kern w:val="2"/>
                <w:sz w:val="22"/>
                <w:szCs w:val="22"/>
                <w:lang w:val="en-US" w:eastAsia="zh-CN" w:bidi="ar-SA"/>
              </w:rPr>
            </w:pPr>
          </w:p>
        </w:tc>
      </w:tr>
    </w:tbl>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填报人（签字）：</w:t>
      </w:r>
      <w:r>
        <w:rPr>
          <w:rFonts w:hint="eastAsia" w:asciiTheme="minorEastAsia" w:hAnsiTheme="minorEastAsia" w:eastAsiaTheme="minorEastAsia" w:cstheme="minorEastAsia"/>
          <w:sz w:val="24"/>
          <w:szCs w:val="24"/>
          <w:lang w:val="en-US" w:eastAsia="zh-CN"/>
        </w:rPr>
        <w:t xml:space="preserve">                                    负责人（签字）：</w:t>
      </w:r>
    </w:p>
    <w:p>
      <w:pPr>
        <w:pStyle w:val="2"/>
        <w:snapToGrid w:val="0"/>
        <w:spacing w:after="0"/>
        <w:jc w:val="left"/>
        <w:rPr>
          <w:rFonts w:hint="eastAsia" w:asciiTheme="minorEastAsia" w:hAnsiTheme="minorEastAsia" w:eastAsiaTheme="minorEastAsia" w:cstheme="minorEastAsia"/>
          <w:sz w:val="24"/>
          <w:szCs w:val="24"/>
          <w:lang w:val="en-US" w:eastAsia="zh-CN"/>
        </w:rPr>
      </w:pPr>
    </w:p>
    <w:p>
      <w:pPr>
        <w:pStyle w:val="2"/>
        <w:snapToGrid w:val="0"/>
        <w:spacing w:after="0"/>
        <w:jc w:val="left"/>
        <w:rPr>
          <w:rFonts w:hint="default" w:asciiTheme="minorEastAsia" w:hAnsiTheme="minorEastAsia" w:eastAsiaTheme="minorEastAsia" w:cstheme="minorEastAsia"/>
          <w:sz w:val="24"/>
          <w:szCs w:val="24"/>
          <w:lang w:val="en-US" w:eastAsia="zh-CN"/>
        </w:rPr>
        <w:sectPr>
          <w:pgSz w:w="11906" w:h="16838"/>
          <w:pgMar w:top="1134" w:right="1134" w:bottom="1134" w:left="1134" w:header="0" w:footer="1814" w:gutter="0"/>
          <w:pgBorders>
            <w:top w:val="none" w:sz="0" w:space="0"/>
            <w:left w:val="none" w:sz="0" w:space="0"/>
            <w:bottom w:val="none" w:sz="0" w:space="0"/>
            <w:right w:val="none" w:sz="0" w:space="0"/>
          </w:pgBorders>
          <w:pgNumType w:fmt="numberInDash"/>
          <w:cols w:space="720" w:num="1"/>
          <w:docGrid w:type="linesAndChars" w:linePitch="587" w:charSpace="95"/>
        </w:sectPr>
      </w:pPr>
      <w:r>
        <w:rPr>
          <w:rFonts w:hint="default" w:asciiTheme="minorEastAsia" w:hAnsiTheme="minorEastAsia" w:eastAsiaTheme="minorEastAsia" w:cstheme="minorEastAsia"/>
          <w:sz w:val="24"/>
          <w:szCs w:val="24"/>
          <w:lang w:val="en-US" w:eastAsia="zh-CN"/>
        </w:rPr>
        <w:t>注：若表格不够填写，可另附内容进行补充。</w:t>
      </w:r>
    </w:p>
    <w:p>
      <w:pPr>
        <w:pStyle w:val="2"/>
        <w:snapToGrid w:val="0"/>
        <w:spacing w:after="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河南省县域义务教育优质均衡发展督导评估B类指标</w:t>
      </w:r>
      <w:r>
        <w:rPr>
          <w:rFonts w:hint="eastAsia" w:ascii="方正小标宋简体" w:hAnsi="方正小标宋简体" w:eastAsia="方正小标宋简体" w:cs="方正小标宋简体"/>
          <w:sz w:val="44"/>
          <w:szCs w:val="44"/>
          <w:lang w:eastAsia="zh-CN"/>
        </w:rPr>
        <w:t>推进方案</w:t>
      </w:r>
    </w:p>
    <w:p>
      <w:pPr>
        <w:pStyle w:val="2"/>
        <w:snapToGrid w:val="0"/>
        <w:spacing w:after="0"/>
        <w:jc w:val="both"/>
        <w:rPr>
          <w:rFonts w:hint="eastAsia" w:ascii="方正小标宋简体" w:hAnsi="方正小标宋简体" w:eastAsia="方正小标宋简体" w:cs="方正小标宋简体"/>
          <w:sz w:val="44"/>
          <w:szCs w:val="44"/>
        </w:rPr>
      </w:pPr>
      <w:r>
        <w:rPr>
          <w:rFonts w:hint="eastAsia" w:asciiTheme="minorEastAsia" w:hAnsiTheme="minorEastAsia" w:eastAsiaTheme="minorEastAsia" w:cstheme="minorEastAsia"/>
          <w:sz w:val="24"/>
          <w:szCs w:val="24"/>
          <w:lang w:eastAsia="zh-CN"/>
        </w:rPr>
        <w:t>单位（盖章）：</w:t>
      </w:r>
      <w:r>
        <w:rPr>
          <w:rFonts w:hint="eastAsia" w:asciiTheme="minorEastAsia" w:hAnsiTheme="minorEastAsia" w:eastAsiaTheme="minorEastAsia" w:cstheme="minorEastAsia"/>
          <w:sz w:val="24"/>
          <w:szCs w:val="24"/>
          <w:lang w:val="en-US" w:eastAsia="zh-CN"/>
        </w:rPr>
        <w:t xml:space="preserve">                                            年    月   日</w:t>
      </w:r>
    </w:p>
    <w:tbl>
      <w:tblPr>
        <w:tblStyle w:val="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5692"/>
        <w:gridCol w:w="885"/>
        <w:gridCol w:w="67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11" w:type="dxa"/>
            <w:noWrap w:val="0"/>
            <w:tcMar>
              <w:left w:w="0" w:type="dxa"/>
              <w:right w:w="0" w:type="dxa"/>
            </w:tcMar>
            <w:vAlign w:val="center"/>
          </w:tcPr>
          <w:p>
            <w:pPr>
              <w:spacing w:line="320" w:lineRule="exact"/>
              <w:jc w:val="center"/>
              <w:rPr>
                <w:rFonts w:hint="eastAsia" w:ascii="黑体" w:hAnsi="黑体" w:eastAsia="黑体" w:cs="仿宋_GB2312"/>
                <w:sz w:val="22"/>
                <w:szCs w:val="22"/>
              </w:rPr>
            </w:pPr>
            <w:r>
              <w:rPr>
                <w:rFonts w:hint="eastAsia" w:ascii="黑体" w:hAnsi="黑体" w:eastAsia="黑体" w:cs="仿宋_GB2312"/>
                <w:sz w:val="22"/>
                <w:szCs w:val="22"/>
              </w:rPr>
              <w:t>指标名称</w:t>
            </w:r>
          </w:p>
        </w:tc>
        <w:tc>
          <w:tcPr>
            <w:tcW w:w="5692" w:type="dxa"/>
            <w:noWrap w:val="0"/>
            <w:tcMar>
              <w:left w:w="0" w:type="dxa"/>
              <w:right w:w="0" w:type="dxa"/>
            </w:tcMar>
            <w:vAlign w:val="center"/>
          </w:tcPr>
          <w:p>
            <w:pPr>
              <w:spacing w:line="320" w:lineRule="exact"/>
              <w:jc w:val="center"/>
              <w:rPr>
                <w:rFonts w:hint="eastAsia" w:ascii="黑体" w:hAnsi="黑体" w:eastAsia="黑体" w:cs="仿宋_GB2312"/>
                <w:sz w:val="22"/>
                <w:szCs w:val="22"/>
              </w:rPr>
            </w:pPr>
            <w:r>
              <w:rPr>
                <w:rFonts w:hint="eastAsia" w:ascii="黑体" w:hAnsi="黑体" w:eastAsia="黑体" w:cs="仿宋_GB2312"/>
                <w:sz w:val="22"/>
                <w:szCs w:val="22"/>
              </w:rPr>
              <w:t>评估要点</w:t>
            </w:r>
          </w:p>
        </w:tc>
        <w:tc>
          <w:tcPr>
            <w:tcW w:w="885" w:type="dxa"/>
            <w:noWrap w:val="0"/>
            <w:tcMar>
              <w:left w:w="0" w:type="dxa"/>
              <w:right w:w="0" w:type="dxa"/>
            </w:tcMar>
            <w:vAlign w:val="center"/>
          </w:tcPr>
          <w:p>
            <w:pPr>
              <w:spacing w:line="320" w:lineRule="exact"/>
              <w:jc w:val="center"/>
              <w:rPr>
                <w:rFonts w:hint="default" w:ascii="黑体" w:hAnsi="黑体" w:eastAsia="黑体" w:cs="仿宋_GB2312"/>
                <w:kern w:val="2"/>
                <w:sz w:val="22"/>
                <w:szCs w:val="22"/>
                <w:lang w:val="en-US" w:eastAsia="zh-CN" w:bidi="ar-SA"/>
              </w:rPr>
            </w:pPr>
            <w:r>
              <w:rPr>
                <w:rFonts w:hint="eastAsia" w:ascii="黑体" w:hAnsi="黑体" w:eastAsia="黑体" w:cs="仿宋_GB2312"/>
                <w:kern w:val="2"/>
                <w:sz w:val="22"/>
                <w:szCs w:val="22"/>
                <w:lang w:val="en-US" w:eastAsia="zh-CN" w:bidi="ar-SA"/>
              </w:rPr>
              <w:t>2024</w:t>
            </w:r>
          </w:p>
        </w:tc>
        <w:tc>
          <w:tcPr>
            <w:tcW w:w="675" w:type="dxa"/>
            <w:noWrap w:val="0"/>
            <w:tcMar>
              <w:left w:w="0" w:type="dxa"/>
              <w:right w:w="0" w:type="dxa"/>
            </w:tcMar>
            <w:vAlign w:val="center"/>
          </w:tcPr>
          <w:p>
            <w:pPr>
              <w:spacing w:line="320" w:lineRule="exact"/>
              <w:jc w:val="center"/>
              <w:rPr>
                <w:rFonts w:hint="default" w:ascii="黑体" w:hAnsi="黑体" w:eastAsia="黑体" w:cs="仿宋_GB2312"/>
                <w:sz w:val="22"/>
                <w:szCs w:val="22"/>
                <w:lang w:val="en-US" w:eastAsia="zh-CN"/>
              </w:rPr>
            </w:pPr>
            <w:r>
              <w:rPr>
                <w:rFonts w:hint="eastAsia" w:ascii="黑体" w:hAnsi="黑体" w:eastAsia="黑体" w:cs="仿宋_GB2312"/>
                <w:sz w:val="22"/>
                <w:szCs w:val="22"/>
                <w:lang w:val="en-US" w:eastAsia="zh-CN"/>
              </w:rPr>
              <w:t>2025</w:t>
            </w:r>
          </w:p>
        </w:tc>
        <w:tc>
          <w:tcPr>
            <w:tcW w:w="966" w:type="dxa"/>
            <w:noWrap w:val="0"/>
            <w:tcMar>
              <w:left w:w="0" w:type="dxa"/>
              <w:right w:w="0" w:type="dxa"/>
            </w:tcMar>
            <w:vAlign w:val="center"/>
          </w:tcPr>
          <w:p>
            <w:pPr>
              <w:spacing w:line="320" w:lineRule="exact"/>
              <w:jc w:val="center"/>
              <w:rPr>
                <w:rFonts w:hint="eastAsia" w:ascii="黑体" w:hAnsi="黑体" w:eastAsia="黑体" w:cs="仿宋_GB2312"/>
                <w:sz w:val="22"/>
                <w:szCs w:val="22"/>
                <w:lang w:eastAsia="zh-CN"/>
              </w:rPr>
            </w:pPr>
            <w:r>
              <w:rPr>
                <w:rFonts w:hint="eastAsia" w:ascii="黑体" w:hAnsi="黑体" w:eastAsia="黑体" w:cs="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一、县域内义务教育学校规划布局合理，符合国家和省的规定要求</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1.将义务教育摆在优先发展的突出位置，根据学龄人口变化合理规划城乡学校布局，保障义务教育学位供给。</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2.城市区根据居民区规模、公共交通状况、流动人口子女入学因素等合理设置完全小学、初级中学,原则上完全小学不低于24班规模,初级中学不低于30班规模。</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3.乡镇政府所在地的初级中学原则上不低于24班规模,其他地方不低于18班规模,每个乡镇至少有1所初级中学。</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4.科学制定寄宿制学校规划，逐步实现农村寄宿制小学向乡镇集中、寄宿制中学向县城集中。</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5.地处偏远、人口稀少、交通不便的地方应保留或设置必要的非完全小学。农村小学1至3年级学生原则上不寄宿。</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二、县级教育行政部门在核定的教职工编制总额和岗位总量内，统筹分配各校教职工编制和岗位数量</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1.完成中小学教师“县管校聘”管理改革，足额核定教职工编制，实行动态管理。</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2.县级教育部门统筹合理调配各校编制，并向乡村小规模学校和乡镇寄宿制学校倾斜。</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3.按照国家规定课程配足配齐所有学科教师，充分发挥教育部门和学校在教师招聘中的重要作用。</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4.不存在教师在编不在岗和各种形式“吃空饷”、长期空编和有编不补、中小学校自行聘用编外教师现象。</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5.完善城乡教师交流轮岗制度，推动城镇优秀教师向乡村学校、薄弱学校流动。</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6.县级教育部门按照学校规模、班额、师资结构等实际情况，将中小学教师岗位具体分配到各学校，重点向农村、偏远地区学校和薄弱学校倾斜。</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三、</w:t>
            </w:r>
            <w:r>
              <w:rPr>
                <w:rFonts w:hint="eastAsia" w:ascii="仿宋_GB2312" w:hAnsi="仿宋_GB2312" w:cs="仿宋_GB2312"/>
                <w:spacing w:val="-14"/>
                <w:sz w:val="24"/>
                <w:szCs w:val="24"/>
              </w:rPr>
              <w:t>所有学校制定章程，实现学校管理与教学信息化</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1.落实学校党的组织和党的工作全覆盖；把思想政治工作贯穿学校教育教学全过程。</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2.所有学校制定章程，对照《义务教育学校管理标准》，完善各项管理制度。</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3.按照“四有”好老师标准，健全师德师风建设长效机制，积极选树先进典型，严肃查处师德失范行为。</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4</w:t>
            </w:r>
            <w:r>
              <w:rPr>
                <w:rFonts w:hint="eastAsia" w:ascii="仿宋_GB2312" w:hAnsi="仿宋_GB2312" w:cs="仿宋_GB2312"/>
                <w:sz w:val="24"/>
                <w:szCs w:val="24"/>
              </w:rPr>
              <w:t>.学校安全风险管理体系健全，岗位安全责任落实。</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5</w:t>
            </w:r>
            <w:r>
              <w:rPr>
                <w:rFonts w:hint="eastAsia" w:ascii="仿宋_GB2312" w:hAnsi="仿宋_GB2312" w:cs="仿宋_GB2312"/>
                <w:sz w:val="24"/>
                <w:szCs w:val="24"/>
              </w:rPr>
              <w:t>.学校宽带接入比例达到100%。</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6</w:t>
            </w:r>
            <w:r>
              <w:rPr>
                <w:rFonts w:hint="eastAsia" w:ascii="仿宋_GB2312" w:hAnsi="仿宋_GB2312" w:cs="仿宋_GB2312"/>
                <w:sz w:val="24"/>
                <w:szCs w:val="24"/>
              </w:rPr>
              <w:t>.常用教室多媒体教学设备配置率达到100%。</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lang w:val="en-US" w:eastAsia="zh-CN"/>
              </w:rPr>
              <w:t>7</w:t>
            </w:r>
            <w:r>
              <w:rPr>
                <w:rFonts w:hint="eastAsia" w:ascii="仿宋_GB2312" w:hAnsi="仿宋_GB2312" w:cs="仿宋_GB2312"/>
                <w:sz w:val="24"/>
                <w:szCs w:val="24"/>
              </w:rPr>
              <w:t>.学校校园网基本建成。</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四、教师能熟练运用信息化手段组织教学，设施设备利用率达到较高水平</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1.所有专任教师均了解国家及我省中小学智慧教育平台、与教学相关的通用软件的功能及特点，并能熟练应用。</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2.专任教师均能通过多种途径获得数字教育资源，掌握加工、制作和管理数字教育资源的工具与方法。教师具有现场制作课件的能力，课件显现直观、实用。</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3.100%实现教师利用网络开展研修活动，不断推动教学改革。</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4.学校信息化设施设备利用率达到较高水平。信息化设备安装、运转正常。</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五、所有学校德育工作、校园文化建设水平达到良好以上</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1.教育部门和学校落实立德树人根本任务，把德育工作摆在首位，领导机制健全。</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2.深入开展理想信念、社会主义核心价值观、中华优秀传统文化、生态文明等教育，引导学生准确理解和把握社会主义核心价值观的深刻内涵和实践要求。</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3.学生综合素质评价落实扎实，学生品德培养和习惯养成成效明显。</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4.注重加强校园文化建设，能够结合学校历史发展沿革等科学规划校园文化建设，形成校园文化特色。</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5.能够用校训、校歌等多种形式凝聚学校发展力量，激励学生健康成长。</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6.注重学校环境绿化、美化、整洁，充分体现教育的引导和熏陶。</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六、课程开足开齐，教学秩序规范，综合实践活动有效开展</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1.按国家课程计划开齐开足课程，课时总量符合课程计划要求。</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2.不随意停开国家课程或减少教学课时，教学秩序规范。</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3.学校能够按照《中小学综合实践活动课程指导纲要》要求，组织学生开展综合实践活动，小学1-2年级平均每周不少于1课时，小学3-6年级和初中平均每周不少于2课时。</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4.开设有劳动课，且平均每周不少于1课时。</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both"/>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5.配备有专兼职相结合的劳动教育教师，学校有满足劳动教育需要的实践基地和场所。</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6.每学期在地方课程中安排9个课时开展健康教育，教学内容应符合《中小学健康教育指导纲要》要求。</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00" w:lineRule="exact"/>
              <w:rPr>
                <w:rFonts w:hint="eastAsia" w:ascii="仿宋_GB2312" w:hAnsi="仿宋_GB2312" w:cs="仿宋_GB2312"/>
                <w:sz w:val="24"/>
                <w:szCs w:val="24"/>
              </w:rPr>
            </w:pPr>
            <w:r>
              <w:rPr>
                <w:rFonts w:hint="eastAsia" w:ascii="仿宋_GB2312" w:hAnsi="仿宋_GB2312" w:cs="仿宋_GB2312"/>
                <w:sz w:val="24"/>
                <w:szCs w:val="24"/>
              </w:rPr>
              <w:t>7.开展多样化劳动教育实践活动，小学中高年级每年学会1-2项生活技能。</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restart"/>
            <w:noWrap w:val="0"/>
            <w:tcMar>
              <w:left w:w="0" w:type="dxa"/>
              <w:right w:w="0" w:type="dxa"/>
            </w:tcMar>
            <w:vAlign w:val="center"/>
          </w:tcPr>
          <w:p>
            <w:pPr>
              <w:spacing w:line="320" w:lineRule="exact"/>
              <w:jc w:val="center"/>
              <w:rPr>
                <w:rFonts w:hint="eastAsia" w:ascii="仿宋_GB2312" w:hAnsi="仿宋_GB2312" w:cs="仿宋_GB2312"/>
                <w:sz w:val="24"/>
                <w:szCs w:val="24"/>
              </w:rPr>
            </w:pPr>
            <w:r>
              <w:rPr>
                <w:rFonts w:hint="eastAsia" w:ascii="仿宋_GB2312" w:hAnsi="仿宋_GB2312" w:cs="仿宋_GB2312"/>
                <w:sz w:val="24"/>
                <w:szCs w:val="24"/>
                <w:lang w:eastAsia="zh-CN"/>
              </w:rPr>
              <w:t>七</w:t>
            </w:r>
            <w:r>
              <w:rPr>
                <w:rFonts w:hint="eastAsia" w:ascii="仿宋_GB2312" w:hAnsi="仿宋_GB2312" w:cs="仿宋_GB2312"/>
                <w:sz w:val="24"/>
                <w:szCs w:val="24"/>
              </w:rPr>
              <w:t>、无过重课业负担</w:t>
            </w: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1.减轻学生过重作业负担和校外培训负担的机制健全，校外培训机构培训行为全面规范，注重利用智慧教育体系实现提质减负。</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2.小学1-2年级不留书面家庭作业，其他年级书面家庭作业平均完成时间不超过60分钟。</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3.初中各年级书面家庭作业平均完成时间不超过90分钟。</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4.“一课一辅”，无违规推荐、选用教辅现象。</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5.确保学生每天在校锻炼不少于60分钟。</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1" w:type="dxa"/>
            <w:vMerge w:val="continue"/>
            <w:noWrap w:val="0"/>
            <w:tcMar>
              <w:left w:w="0" w:type="dxa"/>
              <w:right w:w="0" w:type="dxa"/>
            </w:tcMar>
            <w:vAlign w:val="center"/>
          </w:tcPr>
          <w:p>
            <w:pPr>
              <w:spacing w:line="320" w:lineRule="exact"/>
              <w:jc w:val="center"/>
              <w:rPr>
                <w:rFonts w:hint="eastAsia" w:ascii="仿宋_GB2312" w:hAnsi="仿宋_GB2312" w:cs="仿宋_GB2312"/>
                <w:sz w:val="24"/>
                <w:szCs w:val="24"/>
              </w:rPr>
            </w:pPr>
          </w:p>
        </w:tc>
        <w:tc>
          <w:tcPr>
            <w:tcW w:w="5692" w:type="dxa"/>
            <w:noWrap w:val="0"/>
            <w:tcMar>
              <w:left w:w="0" w:type="dxa"/>
              <w:right w:w="0" w:type="dxa"/>
            </w:tcMar>
            <w:vAlign w:val="top"/>
          </w:tcPr>
          <w:p>
            <w:pPr>
              <w:spacing w:line="320" w:lineRule="exact"/>
              <w:rPr>
                <w:rFonts w:hint="eastAsia" w:ascii="仿宋_GB2312" w:hAnsi="仿宋_GB2312" w:cs="仿宋_GB2312"/>
                <w:sz w:val="24"/>
                <w:szCs w:val="24"/>
              </w:rPr>
            </w:pPr>
            <w:r>
              <w:rPr>
                <w:rFonts w:hint="eastAsia" w:ascii="仿宋_GB2312" w:hAnsi="仿宋_GB2312" w:cs="仿宋_GB2312"/>
                <w:sz w:val="24"/>
                <w:szCs w:val="24"/>
              </w:rPr>
              <w:t>6.严格教学进度和考试次数管理。</w:t>
            </w:r>
          </w:p>
        </w:tc>
        <w:tc>
          <w:tcPr>
            <w:tcW w:w="885" w:type="dxa"/>
            <w:noWrap w:val="0"/>
            <w:tcMar>
              <w:left w:w="0" w:type="dxa"/>
              <w:right w:w="0" w:type="dxa"/>
            </w:tcMar>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675" w:type="dxa"/>
            <w:noWrap w:val="0"/>
            <w:tcMar>
              <w:left w:w="0" w:type="dxa"/>
              <w:right w:w="0" w:type="dxa"/>
            </w:tcMar>
            <w:vAlign w:val="top"/>
          </w:tcPr>
          <w:p>
            <w:pPr>
              <w:spacing w:line="320" w:lineRule="exact"/>
              <w:rPr>
                <w:rFonts w:hint="eastAsia" w:ascii="仿宋_GB2312" w:hAnsi="仿宋_GB2312" w:cs="仿宋_GB2312"/>
                <w:sz w:val="24"/>
                <w:szCs w:val="24"/>
              </w:rPr>
            </w:pPr>
          </w:p>
        </w:tc>
        <w:tc>
          <w:tcPr>
            <w:tcW w:w="966" w:type="dxa"/>
            <w:noWrap w:val="0"/>
            <w:tcMar>
              <w:left w:w="0" w:type="dxa"/>
              <w:right w:w="0" w:type="dxa"/>
            </w:tcMar>
            <w:vAlign w:val="top"/>
          </w:tcPr>
          <w:p>
            <w:pPr>
              <w:spacing w:line="320" w:lineRule="exact"/>
              <w:rPr>
                <w:rFonts w:hint="eastAsia" w:ascii="仿宋_GB2312" w:hAnsi="仿宋_GB2312" w:cs="仿宋_GB2312"/>
                <w:sz w:val="24"/>
                <w:szCs w:val="24"/>
              </w:rPr>
            </w:pPr>
          </w:p>
        </w:tc>
      </w:tr>
    </w:tbl>
    <w:p>
      <w:pPr>
        <w:pStyle w:val="2"/>
        <w:snapToGrid w:val="0"/>
        <w:spacing w:after="0"/>
        <w:jc w:val="left"/>
        <w:rPr>
          <w:rFonts w:hint="eastAsia" w:asciiTheme="minorEastAsia" w:hAnsiTheme="minorEastAsia" w:eastAsiaTheme="minorEastAsia" w:cstheme="minorEastAsia"/>
          <w:sz w:val="24"/>
          <w:szCs w:val="24"/>
          <w:lang w:eastAsia="zh-CN"/>
        </w:rPr>
      </w:pPr>
    </w:p>
    <w:p>
      <w:pPr>
        <w:pStyle w:val="2"/>
        <w:snapToGrid w:val="0"/>
        <w:spacing w:after="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填报人（签字）：</w:t>
      </w:r>
      <w:r>
        <w:rPr>
          <w:rFonts w:hint="eastAsia" w:asciiTheme="minorEastAsia" w:hAnsiTheme="minorEastAsia" w:eastAsiaTheme="minorEastAsia" w:cstheme="minorEastAsia"/>
          <w:sz w:val="24"/>
          <w:szCs w:val="24"/>
          <w:lang w:val="en-US" w:eastAsia="zh-CN"/>
        </w:rPr>
        <w:t xml:space="preserve">                                        负责人（签字）：</w:t>
      </w:r>
    </w:p>
    <w:p>
      <w:pPr>
        <w:pStyle w:val="2"/>
        <w:snapToGrid w:val="0"/>
        <w:spacing w:after="0"/>
        <w:jc w:val="left"/>
        <w:rPr>
          <w:rFonts w:hint="default" w:asciiTheme="minorEastAsia" w:hAnsiTheme="minorEastAsia" w:eastAsiaTheme="minorEastAsia" w:cstheme="minorEastAsia"/>
          <w:sz w:val="24"/>
          <w:szCs w:val="24"/>
          <w:lang w:val="en-US" w:eastAsia="zh-CN"/>
        </w:rPr>
        <w:sectPr>
          <w:pgSz w:w="11906" w:h="16838"/>
          <w:pgMar w:top="1134" w:right="1134" w:bottom="1134" w:left="1134" w:header="0" w:footer="1814" w:gutter="0"/>
          <w:pgBorders>
            <w:top w:val="none" w:sz="0" w:space="0"/>
            <w:left w:val="none" w:sz="0" w:space="0"/>
            <w:bottom w:val="none" w:sz="0" w:space="0"/>
            <w:right w:val="none" w:sz="0" w:space="0"/>
          </w:pgBorders>
          <w:pgNumType w:fmt="numberInDash"/>
          <w:cols w:space="720" w:num="1"/>
          <w:docGrid w:type="linesAndChars" w:linePitch="587" w:charSpace="95"/>
        </w:sectPr>
      </w:pPr>
      <w:r>
        <w:rPr>
          <w:rFonts w:hint="default" w:asciiTheme="minorEastAsia" w:hAnsiTheme="minorEastAsia" w:eastAsiaTheme="minorEastAsia" w:cstheme="minorEastAsia"/>
          <w:sz w:val="24"/>
          <w:szCs w:val="24"/>
          <w:lang w:val="en-US" w:eastAsia="zh-CN"/>
        </w:rPr>
        <w:t>注：若表格不够填写，可另附内容进行补充</w:t>
      </w:r>
      <w:r>
        <w:rPr>
          <w:rFonts w:hint="eastAsia" w:asciiTheme="minorEastAsia" w:hAnsiTheme="minorEastAsia" w:eastAsiaTheme="minorEastAsia" w:cstheme="minorEastAsia"/>
          <w:sz w:val="24"/>
          <w:szCs w:val="24"/>
          <w:lang w:val="en-US" w:eastAsia="zh-CN"/>
        </w:rPr>
        <w:t>。</w:t>
      </w:r>
    </w:p>
    <w:p>
      <w:pPr>
        <w:pStyle w:val="2"/>
        <w:snapToGrid w:val="0"/>
        <w:spacing w:after="0"/>
        <w:jc w:val="left"/>
        <w:rPr>
          <w:rFonts w:hint="eastAsia" w:asciiTheme="minorEastAsia" w:hAnsiTheme="minorEastAsia" w:eastAsiaTheme="minorEastAsia" w:cstheme="minorEastAsia"/>
          <w:sz w:val="24"/>
          <w:szCs w:val="24"/>
          <w:lang w:val="en-US" w:eastAsia="zh-CN"/>
        </w:rPr>
      </w:pPr>
    </w:p>
    <w:p>
      <w:pPr>
        <w:pStyle w:val="2"/>
        <w:rPr>
          <w:rFonts w:hint="eastAsia"/>
        </w:rPr>
      </w:pPr>
      <w:bookmarkStart w:id="0" w:name="_GoBack"/>
      <w:bookmarkEnd w:id="0"/>
    </w:p>
    <w:p>
      <w:pPr>
        <w:pStyle w:val="2"/>
        <w:snapToGrid w:val="0"/>
        <w:spacing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《河南省县域义务教育优质均衡发展督导评估实施细则》有关内容说明</w:t>
      </w:r>
    </w:p>
    <w:p>
      <w:pPr>
        <w:ind w:firstLine="640" w:firstLineChars="200"/>
        <w:rPr>
          <w:rFonts w:hint="eastAsia" w:ascii="仿宋_GB2312" w:hAnsi="仿宋"/>
          <w:sz w:val="32"/>
          <w:szCs w:val="32"/>
        </w:rPr>
      </w:pPr>
    </w:p>
    <w:p>
      <w:pPr>
        <w:ind w:firstLine="640" w:firstLineChars="200"/>
        <w:rPr>
          <w:rFonts w:hint="eastAsia" w:ascii="仿宋_GB2312" w:hAnsi="仿宋"/>
          <w:sz w:val="32"/>
          <w:szCs w:val="32"/>
        </w:rPr>
      </w:pPr>
      <w:r>
        <w:rPr>
          <w:rFonts w:hint="eastAsia" w:ascii="仿宋_GB2312" w:hAnsi="仿宋"/>
          <w:sz w:val="32"/>
          <w:szCs w:val="32"/>
        </w:rPr>
        <w:t>一、《河南省县域义务教育优质均衡发展督导评估实施细则》所称的县域义务教育学校，包括小学（含教学点）、一贯制学校、初级中学、完全中学、特殊教育学校。</w:t>
      </w:r>
    </w:p>
    <w:p>
      <w:pPr>
        <w:ind w:firstLine="640" w:firstLineChars="200"/>
        <w:rPr>
          <w:rFonts w:hint="eastAsia" w:ascii="仿宋_GB2312" w:hAnsi="仿宋"/>
          <w:sz w:val="32"/>
          <w:szCs w:val="32"/>
        </w:rPr>
      </w:pPr>
      <w:r>
        <w:rPr>
          <w:rFonts w:hint="eastAsia" w:ascii="仿宋_GB2312" w:hAnsi="仿宋"/>
          <w:sz w:val="32"/>
          <w:szCs w:val="32"/>
        </w:rPr>
        <w:t>二、督导评估主要依据年度全省教育事业统计数据和全省教育经费统计数据进行。</w:t>
      </w:r>
    </w:p>
    <w:p>
      <w:pPr>
        <w:ind w:firstLine="640" w:firstLineChars="200"/>
        <w:rPr>
          <w:rFonts w:hint="eastAsia" w:ascii="仿宋_GB2312" w:hAnsi="仿宋"/>
          <w:sz w:val="32"/>
          <w:szCs w:val="32"/>
        </w:rPr>
      </w:pPr>
      <w:r>
        <w:rPr>
          <w:rFonts w:hint="eastAsia" w:ascii="仿宋_GB2312" w:hAnsi="仿宋"/>
          <w:sz w:val="32"/>
          <w:szCs w:val="32"/>
        </w:rPr>
        <w:t>三、对资源配置评估时，不含特殊教育学校、职业中学及不足50人的小学教学点。</w:t>
      </w:r>
    </w:p>
    <w:p>
      <w:pPr>
        <w:ind w:firstLine="640" w:firstLineChars="200"/>
        <w:rPr>
          <w:rFonts w:hint="eastAsia" w:ascii="仿宋_GB2312" w:hAnsi="仿宋"/>
          <w:sz w:val="32"/>
          <w:szCs w:val="32"/>
        </w:rPr>
      </w:pPr>
      <w:r>
        <w:rPr>
          <w:rFonts w:hint="eastAsia" w:ascii="仿宋_GB2312" w:hAnsi="仿宋"/>
          <w:sz w:val="32"/>
          <w:szCs w:val="32"/>
        </w:rPr>
        <w:t>四、对于一个独立代码、一个独立法人、但有多个校区的“学校”，以独立校区为统计单位。其中，对于教师在多校区上课的，记入其人事档案管理所在校区。</w:t>
      </w:r>
    </w:p>
    <w:p>
      <w:pPr>
        <w:ind w:firstLine="640" w:firstLineChars="200"/>
        <w:rPr>
          <w:rFonts w:hint="eastAsia" w:ascii="仿宋_GB2312" w:hAnsi="仿宋"/>
          <w:sz w:val="32"/>
          <w:szCs w:val="32"/>
        </w:rPr>
      </w:pPr>
      <w:r>
        <w:rPr>
          <w:rFonts w:hint="eastAsia" w:ascii="仿宋_GB2312" w:hAnsi="仿宋"/>
          <w:sz w:val="32"/>
          <w:szCs w:val="32"/>
        </w:rPr>
        <w:t>五、除“平均工资收入水平”“县域教育行政部门在核定的教职工编制总额和岗位总量内，统筹分配各校教职工编制和岗位数量”“教师交流轮岗比例”外，其他指标均包含县域内民办学校。</w:t>
      </w:r>
    </w:p>
    <w:p>
      <w:pPr>
        <w:ind w:firstLine="640" w:firstLineChars="200"/>
        <w:rPr>
          <w:rFonts w:hint="eastAsia" w:ascii="仿宋_GB2312" w:hAnsi="仿宋"/>
          <w:sz w:val="32"/>
          <w:szCs w:val="32"/>
        </w:rPr>
      </w:pPr>
      <w:r>
        <w:rPr>
          <w:rFonts w:hint="eastAsia" w:ascii="仿宋_GB2312" w:hAnsi="仿宋"/>
          <w:sz w:val="32"/>
          <w:szCs w:val="32"/>
        </w:rPr>
        <w:t>六、统计体育、艺术（美术、音乐）专任教师数时，对50人以上但不足100人的农村小规模学校和教学点，可包括交流轮岗、兼职、走教的体育、艺术（美术、音乐）教师。</w:t>
      </w:r>
    </w:p>
    <w:p>
      <w:pPr>
        <w:ind w:firstLine="640" w:firstLineChars="200"/>
        <w:rPr>
          <w:rFonts w:hint="eastAsia" w:ascii="仿宋_GB2312"/>
          <w:sz w:val="32"/>
          <w:szCs w:val="32"/>
        </w:rPr>
      </w:pPr>
      <w:r>
        <w:rPr>
          <w:rFonts w:hint="eastAsia" w:ascii="仿宋_GB2312" w:hAnsi="仿宋"/>
          <w:sz w:val="32"/>
          <w:szCs w:val="32"/>
        </w:rPr>
        <w:t>七、有关数据拆分方法。</w:t>
      </w:r>
      <w:r>
        <w:rPr>
          <w:rFonts w:hint="eastAsia" w:ascii="仿宋_GB2312"/>
          <w:sz w:val="32"/>
          <w:szCs w:val="32"/>
        </w:rPr>
        <w:t>一贯制学校和完全中学的教学及辅助用房面积、体育运动场馆面积、教学仪器设备值、网络多媒体教室数等四项指标需要做拆分处理。九年一贯制学校，需根据小学、初中各自规模，按照“一个小学生：一个初中生＝</w:t>
      </w:r>
      <w:r>
        <w:rPr>
          <w:rFonts w:ascii="仿宋_GB2312"/>
          <w:sz w:val="32"/>
          <w:szCs w:val="32"/>
        </w:rPr>
        <w:t>1</w:t>
      </w:r>
      <w:r>
        <w:rPr>
          <w:rFonts w:hint="eastAsia" w:ascii="仿宋_GB2312"/>
          <w:sz w:val="32"/>
          <w:szCs w:val="32"/>
        </w:rPr>
        <w:t>：</w:t>
      </w:r>
      <w:r>
        <w:rPr>
          <w:rFonts w:ascii="仿宋_GB2312"/>
          <w:sz w:val="32"/>
          <w:szCs w:val="32"/>
        </w:rPr>
        <w:t>1.1</w:t>
      </w:r>
      <w:r>
        <w:rPr>
          <w:rFonts w:hint="eastAsia" w:ascii="仿宋_GB2312"/>
          <w:sz w:val="32"/>
          <w:szCs w:val="32"/>
        </w:rPr>
        <w:t>”的比例进行拆分，将其小学部、初中部占有部分分别作为单独小学、初中数据。完全中学，需根据初中、高中各自规模，按照“一个初中生：一个高中生＝</w:t>
      </w:r>
      <w:r>
        <w:rPr>
          <w:rFonts w:ascii="仿宋_GB2312"/>
          <w:sz w:val="32"/>
          <w:szCs w:val="32"/>
        </w:rPr>
        <w:t>1</w:t>
      </w:r>
      <w:r>
        <w:rPr>
          <w:rFonts w:hint="eastAsia" w:ascii="仿宋_GB2312"/>
          <w:sz w:val="32"/>
          <w:szCs w:val="32"/>
        </w:rPr>
        <w:t>：</w:t>
      </w:r>
      <w:r>
        <w:rPr>
          <w:rFonts w:ascii="仿宋_GB2312"/>
          <w:sz w:val="32"/>
          <w:szCs w:val="32"/>
        </w:rPr>
        <w:t>1.2</w:t>
      </w:r>
      <w:r>
        <w:rPr>
          <w:rFonts w:hint="eastAsia" w:ascii="仿宋_GB2312"/>
          <w:sz w:val="32"/>
          <w:szCs w:val="32"/>
        </w:rPr>
        <w:t>”的比例进行拆分，将其初中部占有部分作为单独初中学校数据。十二年一贯制学校，需根据小学、初中、高中各自规模，按照“一个小学生：一个初中生</w:t>
      </w:r>
      <w:r>
        <w:rPr>
          <w:rFonts w:hint="eastAsia"/>
          <w:sz w:val="32"/>
          <w:szCs w:val="32"/>
        </w:rPr>
        <w:t>：</w:t>
      </w:r>
      <w:r>
        <w:rPr>
          <w:rFonts w:hint="eastAsia" w:ascii="仿宋_GB2312"/>
          <w:sz w:val="32"/>
          <w:szCs w:val="32"/>
        </w:rPr>
        <w:t>一个高中生＝</w:t>
      </w:r>
      <w:r>
        <w:rPr>
          <w:rFonts w:ascii="仿宋_GB2312"/>
          <w:sz w:val="32"/>
          <w:szCs w:val="32"/>
        </w:rPr>
        <w:t>1</w:t>
      </w:r>
      <w:r>
        <w:rPr>
          <w:rFonts w:hint="eastAsia" w:ascii="仿宋_GB2312"/>
          <w:sz w:val="32"/>
          <w:szCs w:val="32"/>
        </w:rPr>
        <w:t>：</w:t>
      </w:r>
      <w:r>
        <w:rPr>
          <w:rFonts w:ascii="仿宋_GB2312"/>
          <w:sz w:val="32"/>
          <w:szCs w:val="32"/>
        </w:rPr>
        <w:t>1.1</w:t>
      </w:r>
      <w:r>
        <w:rPr>
          <w:rFonts w:hint="eastAsia" w:ascii="仿宋_GB2312"/>
          <w:sz w:val="32"/>
          <w:szCs w:val="32"/>
        </w:rPr>
        <w:t>：</w:t>
      </w:r>
      <w:r>
        <w:rPr>
          <w:rFonts w:ascii="仿宋_GB2312"/>
          <w:sz w:val="32"/>
          <w:szCs w:val="32"/>
        </w:rPr>
        <w:t>1.32</w:t>
      </w:r>
      <w:r>
        <w:rPr>
          <w:rFonts w:hint="eastAsia" w:ascii="仿宋_GB2312"/>
          <w:sz w:val="32"/>
          <w:szCs w:val="32"/>
        </w:rPr>
        <w:t>”的比例进行拆分，将其小学部、初中部占有部分分别作为单独小学、初中数据。对于少数地区存在的小学附设幼儿班、初中附设小学班、高中附设初中班的情况，可按照上述办法做相应比例的拆分。</w:t>
      </w:r>
    </w:p>
    <w:p>
      <w:pPr>
        <w:ind w:firstLine="640" w:firstLineChars="200"/>
        <w:rPr>
          <w:rFonts w:hint="eastAsia" w:ascii="仿宋_GB2312"/>
          <w:sz w:val="32"/>
          <w:szCs w:val="32"/>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TNlN2YzZGMwYmQxNTlhMWExMTE5MWUwYjBiMjYifQ=="/>
  </w:docVars>
  <w:rsids>
    <w:rsidRoot w:val="7CEF08B4"/>
    <w:rsid w:val="1FEB7165"/>
    <w:rsid w:val="2FFEA578"/>
    <w:rsid w:val="3C820D12"/>
    <w:rsid w:val="3FF89FA4"/>
    <w:rsid w:val="5F9F4858"/>
    <w:rsid w:val="7BF7F33E"/>
    <w:rsid w:val="7CEF08B4"/>
    <w:rsid w:val="7FDEA142"/>
    <w:rsid w:val="B6EB1782"/>
    <w:rsid w:val="BBEF219F"/>
    <w:rsid w:val="D7FD0EDF"/>
    <w:rsid w:val="EFFFD411"/>
    <w:rsid w:val="FFDF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仿宋_GB2312" w:cs="Times New Roman"/>
      <w:kern w:val="2"/>
      <w:sz w:val="30"/>
      <w:szCs w:val="30"/>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仿宋_GB2312"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paragraph" w:customStyle="1" w:styleId="9">
    <w:name w:val="Char"/>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7154</Words>
  <Characters>7681</Characters>
  <Lines>0</Lines>
  <Paragraphs>0</Paragraphs>
  <TotalTime>12</TotalTime>
  <ScaleCrop>false</ScaleCrop>
  <LinksUpToDate>false</LinksUpToDate>
  <CharactersWithSpaces>8056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2023-09-12T19:48:00Z</dcterms:created>
  <dc:creator>kulin</dc:creator>
  <cp:lastModifiedBy>Administrator</cp:lastModifiedBy>
  <dcterms:modified xsi:type="dcterms:W3CDTF">2024-07-29T01:08:21Z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D3ED8FAA928822DD268EFE64CB3234C8</vt:lpwstr>
  </property>
</Properties>
</file>