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eastAsia="方正小标宋简体"/>
          <w:b w:val="0"/>
          <w:bCs/>
          <w:color w:val="FF0000"/>
          <w:spacing w:val="142"/>
          <w:w w:val="70"/>
          <w:sz w:val="52"/>
          <w:szCs w:val="5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both"/>
        <w:textAlignment w:val="auto"/>
        <w:rPr>
          <w:rFonts w:hint="eastAsia" w:ascii="方正小标宋简体" w:eastAsia="方正小标宋简体"/>
          <w:b w:val="0"/>
          <w:bCs/>
          <w:color w:val="FF0000"/>
          <w:w w:val="70"/>
          <w:sz w:val="96"/>
          <w:szCs w:val="96"/>
          <w:shd w:val="clear" w:color="auto" w:fill="auto"/>
          <w:lang w:val="en-US" w:eastAsia="zh-CN"/>
        </w:rPr>
      </w:pPr>
      <w:r>
        <w:rPr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357505</wp:posOffset>
                </wp:positionV>
                <wp:extent cx="1185545" cy="1156335"/>
                <wp:effectExtent l="0" t="0" r="8255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26785" y="1534795"/>
                          <a:ext cx="1185545" cy="1156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color w:val="FF0000"/>
                                <w:w w:val="70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color w:val="FF0000"/>
                                <w:w w:val="70"/>
                                <w:sz w:val="96"/>
                                <w:szCs w:val="96"/>
                                <w:lang w:val="en-US"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05pt;margin-top:28.15pt;height:91.05pt;width:93.35pt;z-index:251659264;mso-width-relative:page;mso-height-relative:page;" fillcolor="#FFFFFF [3201]" filled="t" stroked="f" coordsize="21600,21600" o:gfxdata="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uaxarW&#10;AAAACgEAAA8AAAAAAAAAAQAgAAAAIgAAAGRycy9kb3ducmV2LnhtbFBLAQIUABQAAAAIAIdO4kAV&#10;DDjgWwIAAJw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_GBK" w:hAnsi="方正小标宋_GBK" w:eastAsia="方正小标宋_GBK" w:cs="方正小标宋_GBK"/>
                          <w:b/>
                          <w:color w:val="FF0000"/>
                          <w:w w:val="70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color w:val="FF0000"/>
                          <w:w w:val="70"/>
                          <w:sz w:val="96"/>
                          <w:szCs w:val="96"/>
                          <w:lang w:val="en-US"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 w:val="0"/>
          <w:bCs/>
          <w:color w:val="FF0000"/>
          <w:spacing w:val="142"/>
          <w:w w:val="70"/>
          <w:sz w:val="96"/>
          <w:szCs w:val="96"/>
          <w:shd w:val="clear" w:color="auto" w:fill="auto"/>
          <w:lang w:val="en-US" w:eastAsia="zh-CN"/>
        </w:rPr>
        <w:t>舞钢市应急管理</w:t>
      </w:r>
      <w:r>
        <w:rPr>
          <w:rFonts w:hint="eastAsia" w:ascii="方正小标宋简体" w:eastAsia="方正小标宋简体"/>
          <w:b w:val="0"/>
          <w:bCs/>
          <w:color w:val="FF0000"/>
          <w:w w:val="70"/>
          <w:sz w:val="96"/>
          <w:szCs w:val="96"/>
          <w:shd w:val="clear" w:color="auto" w:fill="auto"/>
          <w:lang w:val="en-US" w:eastAsia="zh-CN"/>
        </w:rPr>
        <w:t>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textAlignment w:val="auto"/>
        <w:rPr>
          <w:rFonts w:hint="default"/>
          <w:color w:val="FF0000"/>
          <w:w w:val="70"/>
          <w:sz w:val="96"/>
          <w:szCs w:val="96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FF0000"/>
          <w:w w:val="70"/>
          <w:sz w:val="96"/>
          <w:szCs w:val="96"/>
          <w:shd w:val="clear" w:color="auto" w:fill="auto"/>
          <w:lang w:val="en-US" w:eastAsia="zh-CN"/>
        </w:rPr>
        <w:t>舞钢市自然资源和规划局</w:t>
      </w:r>
    </w:p>
    <w:p>
      <w:pPr>
        <w:jc w:val="center"/>
        <w:rPr>
          <w:rFonts w:hint="eastAsia" w:ascii="仿宋_GB2312" w:hAnsi="仿宋" w:eastAsia="仿宋_GB2312" w:cs="仿宋"/>
          <w:b w:val="0"/>
          <w:bCs/>
        </w:rPr>
      </w:pPr>
    </w:p>
    <w:p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  <w:r>
        <w:rPr>
          <w:rFonts w:hint="eastAsia" w:ascii="仿宋_GB2312" w:hAnsi="仿宋" w:eastAsia="仿宋_GB2312" w:cs="仿宋"/>
          <w:b w:val="0"/>
          <w:bCs/>
        </w:rPr>
        <w:t>舞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应急</w:t>
      </w:r>
      <w:r>
        <w:rPr>
          <w:rFonts w:hint="eastAsia" w:ascii="仿宋_GB2312" w:hAnsi="仿宋" w:eastAsia="仿宋_GB2312" w:cs="仿宋"/>
          <w:b w:val="0"/>
          <w:bCs/>
        </w:rPr>
        <w:t>〔202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/>
        </w:rPr>
        <w:t>〕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81</w:t>
      </w:r>
      <w:r>
        <w:rPr>
          <w:rFonts w:hint="eastAsia" w:ascii="仿宋_GB2312" w:hAnsi="仿宋" w:eastAsia="仿宋_GB2312" w:cs="仿宋"/>
          <w:b w:val="0"/>
          <w:bCs/>
        </w:rPr>
        <w:t>号</w:t>
      </w:r>
    </w:p>
    <w:p>
      <w:pPr>
        <w:jc w:val="center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156845</wp:posOffset>
                </wp:positionV>
                <wp:extent cx="5771515" cy="0"/>
                <wp:effectExtent l="0" t="9525" r="698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5830" y="3989705"/>
                          <a:ext cx="57715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5pt;margin-top:12.35pt;height:0pt;width:454.45pt;z-index:251660288;mso-width-relative:page;mso-height-relative:page;" filled="f" stroked="t" coordsize="21600,21600" o:gfxdata="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4TQl1gAAAAkBAAAPAAAAAAAAAAEAIAAAACIAAABkcnMvZG93bnJldi54bWxQSwEC&#10;FAAUAAAACACHTuJAIqwKi/YBAAC9AwAADgAAAAAAAAABACAAAAAlAQAAZHJzL2Uyb0RvYy54bWxQ&#10;SwUGAAAAAAYABgBZAQAAjQ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关于印发《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全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市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eastAsia="zh-CN"/>
        </w:rPr>
        <w:t>非煤矿山生产经营企业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202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  <w:lang w:val="en-US" w:eastAsia="zh-CN"/>
        </w:rPr>
        <w:t>3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年“双随机、一公开”部门联合监管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</w:pP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实施方案</w:t>
      </w:r>
      <w:r>
        <w:rPr>
          <w:rFonts w:hint="eastAsia" w:ascii="方正小标宋简体" w:eastAsia="方正小标宋简体"/>
          <w:b/>
          <w:bCs w:val="0"/>
          <w:sz w:val="40"/>
          <w:szCs w:val="40"/>
          <w:shd w:val="clear" w:color="auto" w:fill="auto"/>
        </w:rPr>
        <w:t>》</w:t>
      </w:r>
      <w:r>
        <w:rPr>
          <w:rFonts w:hint="eastAsia" w:ascii="方正小标宋简体" w:eastAsia="方正小标宋简体"/>
          <w:b w:val="0"/>
          <w:bCs/>
          <w:sz w:val="40"/>
          <w:szCs w:val="40"/>
          <w:shd w:val="clear" w:color="auto" w:fill="auto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" w:eastAsia="仿宋_GB2312" w:cs="仿宋"/>
          <w:b w:val="0"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市应急管理局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、</w:t>
      </w:r>
      <w:r>
        <w:rPr>
          <w:rFonts w:hint="eastAsia" w:ascii="仿宋_GB2312" w:hAnsi="仿宋" w:eastAsia="仿宋_GB2312" w:cs="仿宋"/>
          <w:b w:val="0"/>
          <w:bCs/>
        </w:rPr>
        <w:t>市自然资源和规划局：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为营造开放包容、重信守诺、务实高效、健康有序的营商环境，根据《国务院关于在市场监管领域全面推行部门联合“双随机、一公开”监管的意见》（国发〔2019〕5号）、《舞钢市人民政府关于在市场监管领域全面推行部门联合“双随机、一公开”监管的实施意见》（舞政〔2020〕2号）精神，按照《舞钢市202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/>
        </w:rPr>
        <w:t>年度部门联合“双随机、一公开”抽查工作计划》和《舞钢市市场监管领域全面推行部门联合“双随机、一公开”抽查实施细则》要求，市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联合市自然资源和规划局</w:t>
      </w:r>
      <w:r>
        <w:rPr>
          <w:rFonts w:hint="eastAsia" w:ascii="仿宋_GB2312" w:hAnsi="仿宋" w:eastAsia="仿宋_GB2312" w:cs="仿宋"/>
          <w:b w:val="0"/>
          <w:bCs/>
        </w:rPr>
        <w:t>对舞钢市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非煤矿山生产经营单位</w:t>
      </w:r>
      <w:r>
        <w:rPr>
          <w:rFonts w:hint="eastAsia" w:ascii="仿宋_GB2312" w:hAnsi="仿宋" w:eastAsia="仿宋_GB2312" w:cs="仿宋"/>
          <w:b w:val="0"/>
          <w:bCs/>
        </w:rPr>
        <w:t>进行抽查检查。现将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</w:rPr>
        <w:t>《全市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非煤矿山生产经营企业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</w:rPr>
        <w:t>202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  <w:lang w:val="en-US" w:eastAsia="zh-CN"/>
        </w:rPr>
        <w:t>3</w:t>
      </w:r>
      <w:r>
        <w:rPr>
          <w:rFonts w:hint="eastAsia" w:ascii="仿宋_GB2312" w:hAnsi="仿宋" w:eastAsia="仿宋_GB2312" w:cs="仿宋_GB2312"/>
          <w:b w:val="0"/>
          <w:bCs/>
          <w:color w:val="000000"/>
          <w:kern w:val="0"/>
        </w:rPr>
        <w:t>年“双随机、一公开”联合抽查实施方案》</w:t>
      </w:r>
      <w:r>
        <w:rPr>
          <w:rFonts w:hint="eastAsia" w:ascii="仿宋_GB2312" w:hAnsi="仿宋" w:eastAsia="仿宋_GB2312" w:cs="仿宋"/>
          <w:b w:val="0"/>
          <w:bCs/>
        </w:rPr>
        <w:t>印发你们，请结合工作实际认真贯彻落实。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 w:cs="仿宋"/>
          <w:b w:val="0"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/>
        </w:rPr>
        <w:t>舞钢</w:t>
      </w:r>
      <w:r>
        <w:rPr>
          <w:rFonts w:hint="eastAsia" w:ascii="仿宋_GB2312" w:hAnsi="仿宋" w:eastAsia="仿宋_GB2312" w:cs="仿宋"/>
          <w:b w:val="0"/>
          <w:bCs w:val="0"/>
        </w:rPr>
        <w:t>市</w:t>
      </w:r>
      <w:r>
        <w:rPr>
          <w:rFonts w:hint="eastAsia" w:ascii="仿宋_GB2312" w:hAnsi="仿宋" w:eastAsia="仿宋_GB2312" w:cs="仿宋"/>
          <w:b w:val="0"/>
          <w:bCs w:val="0"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             舞钢市自然资源和规划局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仿宋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="仿宋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</w:rPr>
        <w:t>202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 w:val="0"/>
        </w:rPr>
        <w:t>年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9</w:t>
      </w:r>
      <w:r>
        <w:rPr>
          <w:rFonts w:hint="eastAsia" w:ascii="仿宋_GB2312" w:hAnsi="仿宋" w:eastAsia="仿宋_GB2312" w:cs="仿宋"/>
          <w:b w:val="0"/>
          <w:bCs w:val="0"/>
        </w:rPr>
        <w:t>月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14</w:t>
      </w:r>
      <w:r>
        <w:rPr>
          <w:rFonts w:hint="eastAsia" w:ascii="仿宋_GB2312" w:hAnsi="仿宋" w:eastAsia="仿宋_GB2312" w:cs="仿宋"/>
          <w:b w:val="0"/>
          <w:bCs w:val="0"/>
        </w:rPr>
        <w:t>日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 xml:space="preserve">    </w:t>
      </w:r>
    </w:p>
    <w:p>
      <w:pPr>
        <w:rPr>
          <w:rFonts w:hint="eastAsia" w:ascii="仿宋_GB2312" w:hAnsi="仿宋" w:eastAsia="仿宋_GB2312" w:cs="仿宋"/>
          <w:b w:val="0"/>
          <w:bCs w:val="0"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eastAsia="zh-CN"/>
        </w:rPr>
        <w:t>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eastAsia="zh-CN"/>
        </w:rPr>
        <w:t>非煤矿山生产经营单位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  <w:t>年“双随机、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</w:rPr>
        <w:t>一公开”部门联合监管实施方案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w w:val="100"/>
          <w:sz w:val="40"/>
          <w:szCs w:val="40"/>
        </w:rPr>
      </w:pPr>
    </w:p>
    <w:p>
      <w:pPr>
        <w:ind w:firstLine="640" w:firstLineChars="200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一、检查时间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202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3</w:t>
      </w:r>
      <w:r>
        <w:rPr>
          <w:rFonts w:hint="eastAsia" w:ascii="仿宋_GB2312" w:hAnsi="仿宋" w:eastAsia="仿宋_GB2312" w:cs="仿宋"/>
          <w:b w:val="0"/>
          <w:bCs/>
        </w:rPr>
        <w:t>年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/>
        </w:rPr>
        <w:t>月1日至1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bCs/>
        </w:rPr>
        <w:t>月3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1</w:t>
      </w:r>
      <w:r>
        <w:rPr>
          <w:rFonts w:hint="eastAsia" w:ascii="仿宋_GB2312" w:hAnsi="仿宋" w:eastAsia="仿宋_GB2312" w:cs="仿宋"/>
          <w:b w:val="0"/>
          <w:bCs/>
        </w:rPr>
        <w:t>日。</w:t>
      </w:r>
    </w:p>
    <w:p>
      <w:pPr>
        <w:ind w:firstLine="640" w:firstLineChars="200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二、检查对象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全市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非煤矿山生产经营单位</w:t>
      </w:r>
      <w:r>
        <w:rPr>
          <w:rFonts w:hint="eastAsia" w:ascii="仿宋_GB2312" w:hAnsi="仿宋" w:eastAsia="仿宋_GB2312" w:cs="仿宋"/>
          <w:b w:val="0"/>
          <w:bCs/>
        </w:rPr>
        <w:t>作为检查对象，按照10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0</w:t>
      </w:r>
      <w:r>
        <w:rPr>
          <w:rFonts w:hint="eastAsia" w:ascii="仿宋_GB2312" w:hAnsi="仿宋" w:eastAsia="仿宋_GB2312" w:cs="仿宋"/>
          <w:b w:val="0"/>
          <w:bCs/>
        </w:rPr>
        <w:t>%的抽查比例进行联合检查。</w:t>
      </w:r>
    </w:p>
    <w:p>
      <w:pPr>
        <w:ind w:firstLine="640" w:firstLineChars="200"/>
        <w:rPr>
          <w:rFonts w:hint="eastAsia"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三、配合单位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  <w:lang w:eastAsia="zh-CN"/>
        </w:rPr>
      </w:pPr>
      <w:r>
        <w:rPr>
          <w:rFonts w:hint="eastAsia" w:ascii="仿宋_GB2312" w:hAnsi="仿宋" w:eastAsia="仿宋_GB2312" w:cs="仿宋"/>
          <w:b w:val="0"/>
          <w:bCs/>
        </w:rPr>
        <w:t>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自然资源和规划局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四、检查内容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textAlignment w:val="center"/>
        <w:rPr>
          <w:rFonts w:hint="eastAsia" w:ascii="仿宋_GB2312" w:hAnsi="仿宋" w:eastAsia="仿宋_GB2312" w:cs="仿宋"/>
          <w:b w:val="0"/>
          <w:bCs/>
          <w:lang w:val="en-US" w:eastAsia="zh-CN"/>
        </w:rPr>
      </w:pPr>
      <w:r>
        <w:rPr>
          <w:rFonts w:hint="eastAsia" w:ascii="仿宋_GB2312" w:hAnsi="仿宋" w:eastAsia="仿宋_GB2312" w:cs="仿宋"/>
          <w:b w:val="0"/>
          <w:bCs/>
        </w:rPr>
        <w:t>1.舞钢市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/>
        </w:rPr>
        <w:t>：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对禁用工艺、设备的监督检查；对风险管控及隐患治理的监督检查。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2</w:t>
      </w:r>
      <w:r>
        <w:rPr>
          <w:rFonts w:hint="eastAsia" w:ascii="仿宋_GB2312" w:hAnsi="仿宋" w:eastAsia="仿宋_GB2312" w:cs="仿宋"/>
          <w:b w:val="0"/>
          <w:bCs/>
        </w:rPr>
        <w:t>.舞钢市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自然资源和规划局</w:t>
      </w:r>
      <w:r>
        <w:rPr>
          <w:rFonts w:hint="eastAsia" w:ascii="仿宋_GB2312" w:hAnsi="仿宋" w:eastAsia="仿宋_GB2312" w:cs="仿宋"/>
          <w:b w:val="0"/>
          <w:bCs/>
        </w:rPr>
        <w:t>：</w:t>
      </w:r>
      <w:r>
        <w:rPr>
          <w:rFonts w:hint="eastAsia" w:ascii="仿宋_GB2312" w:hAnsi="仿宋" w:eastAsia="仿宋_GB2312" w:cs="仿宋"/>
          <w:b w:val="0"/>
          <w:bCs/>
          <w:lang w:val="en-US" w:eastAsia="zh-CN"/>
        </w:rPr>
        <w:t>采矿证的办理情况及是否存在超层越界开采。</w:t>
      </w:r>
    </w:p>
    <w:p>
      <w:pPr>
        <w:ind w:firstLine="640" w:firstLineChars="200"/>
        <w:rPr>
          <w:rFonts w:ascii="黑体" w:hAnsi="黑体" w:eastAsia="黑体" w:cs="仿宋"/>
          <w:b w:val="0"/>
          <w:bCs/>
          <w:color w:val="222222"/>
        </w:rPr>
      </w:pPr>
      <w:r>
        <w:rPr>
          <w:rFonts w:hint="eastAsia" w:ascii="黑体" w:hAnsi="黑体" w:eastAsia="黑体" w:cs="仿宋"/>
          <w:b w:val="0"/>
          <w:bCs/>
          <w:color w:val="222222"/>
        </w:rPr>
        <w:t>五、实施检查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1.成立由随机抽取的舞钢市</w:t>
      </w:r>
      <w:r>
        <w:rPr>
          <w:rFonts w:hint="eastAsia" w:ascii="仿宋_GB2312" w:hAnsi="仿宋" w:eastAsia="仿宋_GB2312" w:cs="仿宋"/>
          <w:b w:val="0"/>
          <w:bCs/>
          <w:lang w:eastAsia="zh-CN"/>
        </w:rPr>
        <w:t>应急管理局</w:t>
      </w:r>
      <w:r>
        <w:rPr>
          <w:rFonts w:hint="eastAsia" w:ascii="仿宋_GB2312" w:hAnsi="仿宋" w:eastAsia="仿宋_GB2312" w:cs="仿宋"/>
          <w:b w:val="0"/>
          <w:bCs/>
        </w:rPr>
        <w:t>执法人员任组长、其他单位执法人员为组员的检查小组。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/>
        </w:rPr>
        <w:t>2.检查小组应当在现场检查前以书面、电话或传真等形式，告知被检查对象检查</w:t>
      </w:r>
      <w:r>
        <w:rPr>
          <w:rFonts w:hint="eastAsia" w:ascii="仿宋_GB2312" w:hAnsi="仿宋" w:eastAsia="仿宋_GB2312" w:cs="仿宋"/>
          <w:b w:val="0"/>
          <w:bCs w:val="0"/>
        </w:rPr>
        <w:t>的时间及配合检查的要求，提示准备好相关资料。其中检查活动或检查事项不宜告知的，不得向检查对象透露情况，不发放部门联合检查告知书。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 w:val="0"/>
        </w:rPr>
        <w:t>3.检查中发现违法违规等异常情况的，视情节</w:t>
      </w:r>
      <w:r>
        <w:rPr>
          <w:rFonts w:hint="eastAsia" w:ascii="仿宋_GB2312" w:hAnsi="仿宋" w:eastAsia="仿宋_GB2312" w:cs="仿宋"/>
          <w:b w:val="0"/>
          <w:bCs/>
        </w:rPr>
        <w:t>采取制作现场笔录、初步提取证据、责令当事人停止违法活动、督促当事人整改等相应监管措施。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4.责令停止违法与督促整改可以视情采取书面方式、口头方式、移动执法设备打印等具体方式，相关情况记录于《部门联合抽查检查情况记录表》中。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 w:val="0"/>
          <w:lang w:eastAsia="zh-CN"/>
        </w:rPr>
      </w:pPr>
      <w:r>
        <w:rPr>
          <w:rFonts w:hint="eastAsia" w:ascii="仿宋_GB2312" w:hAnsi="仿宋" w:eastAsia="仿宋_GB2312" w:cs="仿宋"/>
          <w:b w:val="0"/>
          <w:bCs/>
        </w:rPr>
        <w:t>5.检查事项全部完成后，要求被检查对象在《部门联合抽查检查情况记录表》签字或盖章。被检查对象拒绝签字或盖章的，由执法检查人员在《部门联合抽查检查情况记录表》上签字说明。</w:t>
      </w:r>
    </w:p>
    <w:p>
      <w:pPr>
        <w:ind w:firstLine="640" w:firstLineChars="200"/>
        <w:rPr>
          <w:rFonts w:ascii="仿宋_GB2312" w:hAnsi="仿宋" w:eastAsia="仿宋_GB2312" w:cs="仿宋"/>
          <w:b w:val="0"/>
          <w:bCs/>
        </w:rPr>
      </w:pPr>
      <w:r>
        <w:rPr>
          <w:rFonts w:hint="eastAsia" w:ascii="黑体" w:hAnsi="黑体" w:eastAsia="黑体" w:cs="仿宋"/>
          <w:b w:val="0"/>
          <w:bCs/>
        </w:rPr>
        <w:t>六、记录检查结果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1.执法检查人员根据各个事项检查情况，填写《部门联合抽查检查情况记录表》并签字确认。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2.对被检查主体涉嫌违法行为如需移送（转办）的，应当在形成检查结果之日起7个工作日内移送（转办）有管辖权的部门处理。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3.抽查检查结果信息包括：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（1）未发现问题；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（2）未按规定公示应当公示的信息；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（3）公示信息隐瞒真实情况弄虚作假；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（4）通过登记的住所（经营场所）无法联系；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（5）发现问题已责令改正;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（6）不配合检查情节严重；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（7）未发现本次抽查涉及的经营活动；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（8）发现问题待后续处理；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（9）合格；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（10）不合格。</w:t>
      </w:r>
    </w:p>
    <w:p>
      <w:pPr>
        <w:ind w:firstLine="640" w:firstLineChars="200"/>
        <w:rPr>
          <w:rFonts w:ascii="黑体" w:hAnsi="黑体" w:eastAsia="黑体" w:cs="仿宋"/>
          <w:b w:val="0"/>
          <w:bCs/>
        </w:rPr>
      </w:pPr>
      <w:r>
        <w:rPr>
          <w:rFonts w:hint="eastAsia" w:ascii="黑体" w:hAnsi="黑体" w:eastAsia="黑体" w:cs="仿宋"/>
          <w:b w:val="0"/>
          <w:bCs/>
        </w:rPr>
        <w:t>七、检查结果公示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执法检查人员在检查结束之日起20个工作日内，按照“谁检查、谁录入、谁公开”的原则，将《部门联合抽查检查情况记录表》中涉及本部门的检查结果信息录入“省级平台”，并通过国家企业信用信息公示系统（河南）进行公示，接受社会监督。</w:t>
      </w:r>
    </w:p>
    <w:p>
      <w:pPr>
        <w:ind w:firstLine="640" w:firstLineChars="200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参加联合检查的部门对具体检查过程、检查结果、公示结果应分别依法负责；对随机抽查中发现的问题由各部门按照“谁审批、谁监管，谁主管、谁监管”和属地管理的原则实施后续监管，防止监管脱节。</w:t>
      </w:r>
    </w:p>
    <w:p>
      <w:pPr>
        <w:ind w:firstLine="640" w:firstLineChars="200"/>
        <w:rPr>
          <w:rFonts w:ascii="黑体" w:hAnsi="黑体" w:eastAsia="黑体" w:cs="仿宋"/>
          <w:b w:val="0"/>
          <w:bCs/>
        </w:rPr>
      </w:pPr>
      <w:r>
        <w:rPr>
          <w:rFonts w:hint="eastAsia" w:ascii="黑体" w:hAnsi="黑体" w:eastAsia="黑体" w:cs="仿宋"/>
          <w:b w:val="0"/>
          <w:bCs/>
        </w:rPr>
        <w:t>八、工作要求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1.提高思想认识。部门联合“双随机、一公开”监管是完善市场监管领域治理体系、提升治理能力的重大决策部署，是加强市场监管和优化营商环境的重要举措，各部门要进一步提高思想认识，提高政治站位，加强组织领导，科学制定方案，周密组织实施，确保工作实效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2.强化部门协作。各部门要密切协同，细化责任分工，科学调配力量，强化工作保障。要坚持问题导向，科学确定联合抽查事项，实现“进一次门、查多项事”。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3.及时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宣传报道</w:t>
      </w:r>
      <w:r>
        <w:rPr>
          <w:rFonts w:hint="eastAsia" w:ascii="仿宋_GB2312" w:hAnsi="仿宋" w:eastAsia="仿宋_GB2312" w:cs="仿宋"/>
          <w:b w:val="0"/>
          <w:bCs w:val="0"/>
        </w:rPr>
        <w:t>。各部门要结合工作进展情况，及时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进行宣传报道</w:t>
      </w:r>
      <w:r>
        <w:rPr>
          <w:rFonts w:hint="eastAsia" w:ascii="仿宋_GB2312" w:hAnsi="仿宋" w:eastAsia="仿宋_GB2312" w:cs="仿宋"/>
          <w:b w:val="0"/>
          <w:bCs w:val="0"/>
        </w:rPr>
        <w:t>，突出工作亮点，展示工作成效，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营造</w:t>
      </w:r>
      <w:r>
        <w:rPr>
          <w:rFonts w:hint="eastAsia" w:ascii="仿宋_GB2312" w:hAnsi="仿宋" w:eastAsia="仿宋_GB2312" w:cs="仿宋"/>
          <w:b w:val="0"/>
          <w:bCs w:val="0"/>
        </w:rPr>
        <w:t>良好氛围。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/>
        </w:rPr>
      </w:pPr>
      <w:r>
        <w:rPr>
          <w:rFonts w:hint="eastAsia" w:ascii="仿宋_GB2312" w:hAnsi="仿宋" w:eastAsia="仿宋_GB2312" w:cs="仿宋"/>
          <w:b w:val="0"/>
          <w:bCs/>
        </w:rPr>
        <w:t>联系人和联系方式: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  <w:lang w:eastAsia="zh-CN"/>
        </w:rPr>
      </w:pPr>
      <w:r>
        <w:rPr>
          <w:rFonts w:hint="eastAsia" w:ascii="仿宋_GB2312" w:hAnsi="仿宋" w:eastAsia="仿宋_GB2312" w:cs="仿宋"/>
          <w:b w:val="0"/>
          <w:bCs w:val="0"/>
        </w:rPr>
        <w:t>舞钢市应急管理局</w:t>
      </w:r>
      <w:r>
        <w:rPr>
          <w:rFonts w:hint="eastAsia" w:ascii="仿宋_GB2312" w:hAnsi="仿宋" w:eastAsia="仿宋_GB2312" w:cs="仿宋"/>
          <w:b w:val="0"/>
          <w:bCs w:val="0"/>
          <w:lang w:eastAsia="zh-CN"/>
        </w:rPr>
        <w:t>：耿志勇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电话：13733755509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舞钢市自然资源和规划局</w:t>
      </w:r>
      <w:r>
        <w:rPr>
          <w:rFonts w:hint="eastAsia" w:ascii="仿宋_GB2312" w:hAnsi="仿宋" w:eastAsia="仿宋_GB2312" w:cs="仿宋"/>
          <w:b w:val="0"/>
          <w:bCs w:val="0"/>
          <w:lang w:val="en-US" w:eastAsia="zh-CN"/>
        </w:rPr>
        <w:t>：</w:t>
      </w:r>
      <w:r>
        <w:rPr>
          <w:rFonts w:hint="eastAsia" w:ascii="仿宋_GB2312" w:hAnsi="仿宋" w:eastAsia="仿宋_GB2312" w:cs="仿宋"/>
          <w:b w:val="0"/>
          <w:bCs w:val="0"/>
        </w:rPr>
        <w:t>韩钦恒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 w:val="0"/>
        </w:rPr>
        <w:t>电话：13837555376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</w:rPr>
      </w:pPr>
    </w:p>
    <w:p>
      <w:pPr>
        <w:ind w:firstLine="640" w:firstLineChars="200"/>
        <w:jc w:val="left"/>
        <w:rPr>
          <w:rFonts w:hint="eastAsia" w:ascii="仿宋_GB2312" w:hAnsi="仿宋" w:eastAsia="仿宋_GB2312" w:cs="仿宋"/>
          <w:b w:val="0"/>
          <w:bCs w:val="0"/>
        </w:rPr>
      </w:pPr>
      <w:r>
        <w:rPr>
          <w:rFonts w:hint="eastAsia" w:ascii="仿宋_GB2312" w:hAnsi="仿宋" w:eastAsia="仿宋_GB2312" w:cs="仿宋"/>
          <w:b w:val="0"/>
          <w:bCs/>
        </w:rPr>
        <w:t>附件：</w:t>
      </w:r>
      <w:r>
        <w:rPr>
          <w:rFonts w:hint="eastAsia" w:ascii="仿宋_GB2312" w:hAnsi="仿宋" w:eastAsia="仿宋_GB2312" w:cs="仿宋"/>
          <w:b w:val="0"/>
          <w:bCs w:val="0"/>
          <w:lang w:eastAsia="zh-CN"/>
        </w:rPr>
        <w:t>非煤矿山生产经营</w:t>
      </w:r>
      <w:r>
        <w:rPr>
          <w:rFonts w:hint="eastAsia" w:ascii="仿宋_GB2312" w:hAnsi="仿宋" w:eastAsia="仿宋_GB2312" w:cs="仿宋"/>
          <w:b w:val="0"/>
          <w:bCs w:val="0"/>
        </w:rPr>
        <w:t>企业联合抽查检查情况记录表</w:t>
      </w:r>
    </w:p>
    <w:p>
      <w:pPr>
        <w:rPr>
          <w:rFonts w:hint="eastAsia" w:ascii="方正小标宋简体" w:hAnsi="仿宋" w:eastAsia="方正小标宋简体" w:cs="仿宋"/>
          <w:b/>
          <w:bCs w:val="0"/>
          <w:color w:val="22222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/>
          <w:bCs w:val="0"/>
          <w:color w:val="222222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  <w:lang w:eastAsia="zh-CN"/>
        </w:rPr>
        <w:t>非煤矿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  <w:lang w:eastAsia="zh-CN"/>
        </w:rPr>
        <w:t>山生产经营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</w:rPr>
        <w:t>联合抽查检查情况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</w:rPr>
        <w:t>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</w:rPr>
        <w:t>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z w:val="44"/>
          <w:szCs w:val="44"/>
        </w:rPr>
        <w:t>表</w:t>
      </w:r>
    </w:p>
    <w:p>
      <w:pPr>
        <w:widowControl/>
        <w:spacing w:line="300" w:lineRule="exact"/>
        <w:jc w:val="center"/>
        <w:rPr>
          <w:rFonts w:hint="eastAsia" w:ascii="方正小标宋简体" w:hAnsi="黑体" w:eastAsia="方正小标宋简体" w:cs="仿宋"/>
          <w:b w:val="0"/>
          <w:bCs/>
          <w:color w:val="222222"/>
          <w:sz w:val="44"/>
          <w:szCs w:val="44"/>
        </w:rPr>
      </w:pPr>
    </w:p>
    <w:tbl>
      <w:tblPr>
        <w:tblStyle w:val="6"/>
        <w:tblW w:w="94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1485"/>
        <w:gridCol w:w="2294"/>
        <w:gridCol w:w="2139"/>
        <w:gridCol w:w="17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法定代表人/负责人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检查单位</w:t>
            </w:r>
          </w:p>
        </w:tc>
        <w:tc>
          <w:tcPr>
            <w:tcW w:w="59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检查事项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市应急管理局</w:t>
            </w:r>
          </w:p>
        </w:tc>
        <w:tc>
          <w:tcPr>
            <w:tcW w:w="591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对禁用工艺、设备的监督检查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对风险管控及隐患治理的监督检查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自然资源和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规划局</w:t>
            </w:r>
          </w:p>
        </w:tc>
        <w:tc>
          <w:tcPr>
            <w:tcW w:w="59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222222"/>
                <w:kern w:val="0"/>
                <w:sz w:val="24"/>
                <w:szCs w:val="24"/>
                <w:lang w:val="en-US" w:eastAsia="zh-CN"/>
              </w:rPr>
              <w:t>采矿证的办理情况及是否存在超层越界开采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4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处理意见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448" w:type="dxa"/>
            <w:gridSpan w:val="5"/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检查对象：                            执法人员：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签字/盖章                             签字/盖章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年  月   日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                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center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说明：（1）检查结果栏填写相应编号：1.未发现问题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2.未按规定公示应当公示的信息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3.公示信息隐瞒真实情况弄虚作假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4.通过登记的住所（经营场所）无法取得联系5.发现问题已责令整改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6.不配合检查情节严重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7.未发现本次抽查涉及的经营活动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8.发现问题待后续处理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9.合格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  <w:lang w:eastAsia="zh-CN"/>
        </w:rPr>
        <w:t>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21"/>
          <w:szCs w:val="21"/>
        </w:rPr>
        <w:t>10.不合格。（2）备注栏可填写检查过程中责令停止违法与督促整改等相关情况。（3）检查对象为非市场主体时，相关数据项可根据工作实际作相应调整。</w:t>
      </w:r>
    </w:p>
    <w:sectPr>
      <w:footerReference r:id="rId3" w:type="default"/>
      <w:pgSz w:w="11906" w:h="16838"/>
      <w:pgMar w:top="1588" w:right="1588" w:bottom="1588" w:left="1588" w:header="851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4"/>
                        <w:szCs w:val="24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0"/>
        </w:tabs>
        <w:ind w:left="1980" w:hanging="720"/>
      </w:pPr>
      <w:rPr>
        <w:sz w:val="32"/>
      </w:rPr>
    </w:lvl>
    <w:lvl w:ilvl="1" w:tentative="0">
      <w:start w:val="1"/>
      <w:numFmt w:val="lowerRoman"/>
      <w:lvlText w:val="(%1)"/>
      <w:lvlJc w:val="left"/>
      <w:pPr>
        <w:tabs>
          <w:tab w:val="left" w:pos="861"/>
        </w:tabs>
        <w:ind w:left="2121" w:hanging="720"/>
      </w:pPr>
    </w:lvl>
    <w:lvl w:ilvl="2" w:tentative="0">
      <w:start w:val="1"/>
      <w:numFmt w:val="lowerLetter"/>
      <w:lvlText w:val="(%1)"/>
      <w:lvlJc w:val="left"/>
      <w:pPr>
        <w:tabs>
          <w:tab w:val="left" w:pos="0"/>
        </w:tabs>
        <w:ind w:left="2595" w:hanging="495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294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336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378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420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0"/>
        </w:tabs>
        <w:ind w:left="462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MTRlODEyZWFlNWFmMDkzZTMyMTU1YThkMTQzMzYifQ=="/>
  </w:docVars>
  <w:rsids>
    <w:rsidRoot w:val="241A4443"/>
    <w:rsid w:val="241A4443"/>
    <w:rsid w:val="389E3D00"/>
    <w:rsid w:val="41BC630C"/>
    <w:rsid w:val="682F6DB2"/>
    <w:rsid w:val="70C54F9C"/>
    <w:rsid w:val="7E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仿宋_GB2312"/>
      <w:color w:val="000000"/>
      <w:kern w:val="0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</w:pPr>
    <w:rPr>
      <w:rFonts w:eastAsia="黑体"/>
      <w:szCs w:val="20"/>
      <w:lang w:val="en-GB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2023-09-12T00:24:00Z</dcterms:created>
  <dc:creator>明明就这样</dc:creator>
  <cp:lastModifiedBy>Administrator</cp:lastModifiedBy>
  <dcterms:modified xsi:type="dcterms:W3CDTF">2023-09-14T00:38:25Z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70E49370EACB4F5E823E4E1A06D467C3_11</vt:lpwstr>
  </property>
</Properties>
</file>